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jc w:val="left"/>
        <w:rPr>
          <w:rFonts w:ascii="黑体" w:eastAsia="黑体" w:hAnsi="黑体" w:cs="黑体" w:hint="eastAsia"/>
          <w:b w:val="0"/>
          <w:bCs w:val="0"/>
          <w:sz w:val="32"/>
          <w:szCs w:val="32"/>
          <w:lang w:val="en-US" w:eastAsia="zh-CN"/>
        </w:rPr>
      </w:pPr>
      <w:r>
        <w:rPr>
          <w:rFonts w:ascii="黑体" w:eastAsia="黑体" w:hAnsi="黑体" w:cs="黑体" w:hint="eastAsia"/>
          <w:b w:val="0"/>
          <w:bCs w:val="0"/>
          <w:sz w:val="32"/>
          <w:szCs w:val="32"/>
          <w:lang w:eastAsia="zh-CN"/>
        </w:rPr>
        <w:t>附件</w:t>
      </w:r>
      <w:r>
        <w:rPr>
          <w:rFonts w:ascii="黑体" w:eastAsia="黑体" w:hAnsi="黑体" w:cs="黑体" w:hint="eastAsia"/>
          <w:b w:val="0"/>
          <w:bCs w:val="0"/>
          <w:sz w:val="32"/>
          <w:szCs w:val="32"/>
          <w:lang w:val="en-US" w:eastAsia="zh-CN"/>
        </w:rPr>
        <w:t>2</w:t>
      </w:r>
    </w:p>
    <w:p>
      <w:pPr>
        <w:jc w:val="center"/>
        <w:rPr>
          <w:rFonts w:ascii="方正小标宋_GBK" w:eastAsia="方正小标宋_GBK" w:hAnsi="方正小标宋_GBK" w:cs="方正小标宋_GBK" w:hint="eastAsia"/>
          <w:b w:val="0"/>
          <w:bCs w:val="0"/>
          <w:sz w:val="36"/>
          <w:szCs w:val="36"/>
          <w:lang w:eastAsia="zh-CN"/>
        </w:rPr>
      </w:pPr>
      <w:r>
        <w:rPr>
          <w:rFonts w:ascii="方正小标宋_GBK" w:eastAsia="方正小标宋_GBK" w:hAnsi="方正小标宋_GBK" w:cs="方正小标宋_GBK" w:hint="eastAsia"/>
          <w:b w:val="0"/>
          <w:bCs w:val="0"/>
          <w:sz w:val="36"/>
          <w:szCs w:val="36"/>
          <w:lang w:eastAsia="zh-CN"/>
        </w:rPr>
        <w:t>海南</w:t>
      </w:r>
      <w:r>
        <w:rPr>
          <w:rFonts w:ascii="方正小标宋_GBK" w:eastAsia="方正小标宋_GBK" w:hAnsi="方正小标宋_GBK" w:cs="方正小标宋_GBK" w:hint="eastAsia"/>
          <w:b w:val="0"/>
          <w:bCs w:val="0"/>
          <w:sz w:val="36"/>
          <w:szCs w:val="36"/>
          <w:lang w:val="en-US" w:eastAsia="zh-CN"/>
        </w:rPr>
        <w:t>省本科层次职业学校学士学</w:t>
      </w:r>
      <w:r>
        <w:rPr>
          <w:rFonts w:ascii="方正小标宋_GBK" w:eastAsia="方正小标宋_GBK" w:hAnsi="方正小标宋_GBK" w:cs="方正小标宋_GBK" w:hint="eastAsia"/>
          <w:b w:val="0"/>
          <w:bCs w:val="0"/>
          <w:sz w:val="36"/>
          <w:szCs w:val="36"/>
        </w:rPr>
        <w:t>位授</w:t>
      </w:r>
      <w:r>
        <w:rPr>
          <w:rFonts w:ascii="方正小标宋_GBK" w:eastAsia="方正小标宋_GBK" w:hAnsi="方正小标宋_GBK" w:cs="方正小标宋_GBK" w:hint="eastAsia"/>
          <w:b w:val="0"/>
          <w:bCs w:val="0"/>
          <w:sz w:val="36"/>
          <w:szCs w:val="36"/>
          <w:lang w:eastAsia="zh-CN"/>
        </w:rPr>
        <w:t>权</w:t>
      </w:r>
      <w:r>
        <w:rPr>
          <w:rFonts w:ascii="方正小标宋_GBK" w:eastAsia="方正小标宋_GBK" w:hAnsi="方正小标宋_GBK" w:cs="方正小标宋_GBK" w:hint="eastAsia"/>
          <w:b w:val="0"/>
          <w:bCs w:val="0"/>
          <w:sz w:val="36"/>
          <w:szCs w:val="36"/>
        </w:rPr>
        <w:t>单位审核标准</w:t>
      </w:r>
    </w:p>
    <w:tbl>
      <w:tblPr>
        <w:tblStyle w:val="TableGrid"/>
        <w:tblW w:w="13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
      <w:tblGrid>
        <w:gridCol w:w="1260"/>
        <w:gridCol w:w="1725"/>
        <w:gridCol w:w="10204"/>
        <w:gridCol w:w="778"/>
      </w:tblGrid>
      <w:tr>
        <w:tblPrEx>
          <w:tblW w:w="13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876"/>
          <w:tblHeader/>
        </w:trPr>
        <w:tc>
          <w:tcPr>
            <w:tcW w:w="1260" w:type="dxa"/>
            <w:vAlign w:val="center"/>
          </w:tcPr>
          <w:p>
            <w:pPr>
              <w:jc w:val="center"/>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一级指标</w:t>
            </w:r>
          </w:p>
        </w:tc>
        <w:tc>
          <w:tcPr>
            <w:tcW w:w="1725" w:type="dxa"/>
            <w:vAlign w:val="center"/>
          </w:tcPr>
          <w:p>
            <w:pPr>
              <w:jc w:val="center"/>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二级指标</w:t>
            </w:r>
          </w:p>
        </w:tc>
        <w:tc>
          <w:tcPr>
            <w:tcW w:w="10204" w:type="dxa"/>
            <w:vAlign w:val="center"/>
          </w:tcPr>
          <w:p>
            <w:pPr>
              <w:jc w:val="center"/>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指标内涵与合格标准</w:t>
            </w:r>
          </w:p>
        </w:tc>
        <w:tc>
          <w:tcPr>
            <w:tcW w:w="778"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Calibri" w:eastAsia="宋体" w:hAnsi="Calibri" w:hint="default"/>
                <w:b/>
                <w:bCs/>
                <w:color w:val="auto"/>
                <w:sz w:val="24"/>
                <w:szCs w:val="24"/>
                <w:vertAlign w:val="baseline"/>
                <w:lang w:val="en-US" w:eastAsia="zh-CN"/>
              </w:rPr>
            </w:pPr>
            <w:r>
              <w:rPr>
                <w:rFonts w:ascii="Calibri" w:hAnsi="Calibri" w:hint="default"/>
                <w:b/>
                <w:bCs/>
                <w:color w:val="auto"/>
                <w:sz w:val="24"/>
                <w:szCs w:val="24"/>
                <w:vertAlign w:val="baseline"/>
                <w:lang w:val="en-US" w:eastAsia="zh-CN"/>
              </w:rPr>
              <w:t>评审方法</w:t>
            </w:r>
          </w:p>
        </w:tc>
      </w:tr>
      <w:tr>
        <w:tblPrEx>
          <w:tblW w:w="13967" w:type="dxa"/>
          <w:tblCellMar>
            <w:left w:w="108" w:type="dxa"/>
            <w:right w:w="108" w:type="dxa"/>
          </w:tblCellMar>
          <w:tblLook w:val="0000"/>
        </w:tblPrEx>
        <w:tc>
          <w:tcPr>
            <w:tcW w:w="1260"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办学定位</w:t>
            </w:r>
          </w:p>
        </w:tc>
        <w:tc>
          <w:tcPr>
            <w:tcW w:w="1725" w:type="dxa"/>
            <w:vAlign w:val="center"/>
          </w:tcPr>
          <w:p>
            <w:pPr>
              <w:ind w:firstLine="210" w:firstLineChars="100"/>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1.1指导思想</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1.坚持社会主义办学方向，</w:t>
            </w:r>
            <w:r>
              <w:rPr>
                <w:rFonts w:ascii="宋体" w:eastAsia="宋体" w:hAnsi="宋体" w:cs="宋体" w:hint="eastAsia"/>
                <w:b w:val="0"/>
                <w:bCs w:val="0"/>
                <w:color w:val="auto"/>
                <w:sz w:val="21"/>
                <w:szCs w:val="21"/>
              </w:rPr>
              <w:t>坚持</w:t>
            </w:r>
            <w:r>
              <w:rPr>
                <w:rFonts w:ascii="宋体" w:eastAsia="宋体" w:hAnsi="宋体" w:cs="宋体" w:hint="eastAsia"/>
                <w:b w:val="0"/>
                <w:bCs w:val="0"/>
                <w:color w:val="auto"/>
                <w:sz w:val="21"/>
                <w:szCs w:val="21"/>
                <w:vertAlign w:val="baseline"/>
                <w:lang w:val="en-US" w:eastAsia="zh-CN"/>
              </w:rPr>
              <w:t>党对教育工作的全面领导，全面贯彻党的教育方针，落实立德树人根本任务。</w:t>
            </w:r>
          </w:p>
        </w:tc>
        <w:tc>
          <w:tcPr>
            <w:tcW w:w="778" w:type="dxa"/>
            <w:vMerge w:val="restart"/>
            <w:vAlign w:val="center"/>
          </w:tcPr>
          <w:p>
            <w:pPr>
              <w:jc w:val="both"/>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听汇报，看材料</w:t>
            </w:r>
          </w:p>
        </w:tc>
      </w:tr>
      <w:tr>
        <w:tblPrEx>
          <w:tblW w:w="13967" w:type="dxa"/>
          <w:tblCellMar>
            <w:left w:w="108" w:type="dxa"/>
            <w:right w:w="108" w:type="dxa"/>
          </w:tblCellMar>
          <w:tblLook w:val="0000"/>
        </w:tblPrEx>
        <w:trPr>
          <w:trHeight w:val="90"/>
        </w:trPr>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1.2学校定位</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1.坚持面向市场、服务发展、促进就业的办学方向，坚定职业教育定位、属性和特色，培养国家和区域经济社会发展需要的高层次技术技能人才。</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2.学校规划符合当地经济社会发展需求。</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1.3办学特色</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1.专业设置服务当地重点产业，并形成学校特色。</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2.坚持产教融合、校企合作培养模式，形成一定特色。</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3.其他特色。</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师资队伍</w:t>
            </w: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2.1师德师风</w:t>
            </w:r>
          </w:p>
        </w:tc>
        <w:tc>
          <w:tcPr>
            <w:tcW w:w="10204" w:type="dxa"/>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1.师德师风监督管理机制健全。</w:t>
            </w:r>
          </w:p>
        </w:tc>
        <w:tc>
          <w:tcPr>
            <w:tcW w:w="778"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看材料，召开教师座谈会</w:t>
            </w:r>
          </w:p>
        </w:tc>
      </w:tr>
      <w:tr>
        <w:tblPrEx>
          <w:tblW w:w="13967" w:type="dxa"/>
          <w:tblCellMar>
            <w:left w:w="108" w:type="dxa"/>
            <w:right w:w="108" w:type="dxa"/>
          </w:tblCellMar>
          <w:tblLook w:val="0000"/>
        </w:tblPrEx>
        <w:trPr>
          <w:trHeight w:val="90"/>
        </w:trPr>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left"/>
              <w:rPr>
                <w:rFonts w:ascii="宋体" w:eastAsia="宋体" w:hAnsi="宋体" w:cs="宋体" w:hint="eastAsia"/>
                <w:b w:val="0"/>
                <w:bCs w:val="0"/>
                <w:color w:val="auto"/>
                <w:sz w:val="21"/>
                <w:szCs w:val="21"/>
                <w:vertAlign w:val="baseline"/>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2.2</w:t>
            </w:r>
            <w:r>
              <w:rPr>
                <w:rFonts w:ascii="宋体" w:eastAsia="宋体" w:hAnsi="宋体" w:cs="宋体" w:hint="eastAsia"/>
                <w:b w:val="0"/>
                <w:bCs w:val="0"/>
                <w:color w:val="auto"/>
                <w:sz w:val="21"/>
                <w:szCs w:val="21"/>
                <w:vertAlign w:val="baseline"/>
              </w:rPr>
              <w:t>队伍数量</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1.专任教师数量满足生师比不高于18：1（见备注1-3）。</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2.来自行业企业一线兼职教师占比不低于专任教师总数的25%，来自行业企业一线兼职教师承担专业课教学任务授课课时占学校专业课总课时的20%以上。</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left"/>
              <w:rPr>
                <w:rFonts w:ascii="宋体" w:eastAsia="宋体" w:hAnsi="宋体" w:cs="宋体" w:hint="eastAsia"/>
                <w:b w:val="0"/>
                <w:bCs w:val="0"/>
                <w:color w:val="auto"/>
                <w:sz w:val="21"/>
                <w:szCs w:val="21"/>
                <w:vertAlign w:val="baseline"/>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2.3</w:t>
            </w:r>
            <w:r>
              <w:rPr>
                <w:rFonts w:ascii="宋体" w:eastAsia="宋体" w:hAnsi="宋体" w:cs="宋体" w:hint="eastAsia"/>
                <w:b w:val="0"/>
                <w:bCs w:val="0"/>
                <w:color w:val="auto"/>
                <w:sz w:val="21"/>
                <w:szCs w:val="21"/>
                <w:vertAlign w:val="baseline"/>
              </w:rPr>
              <w:t>队伍结构</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1.具有高级专业技术职务的专任教师占专任教师的30%，其中正高级专业技术职务的专任教师不少于30人；</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2.具有硕士及以上学位教师占专任教师的50%以上。</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3.专任专业课教师中具有三年以上企业工作经历，或近五年累计不低于6个月到企业或生产服务一线实践经历的</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双师型</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教师比例不低于50%。</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2.4教学科研水平</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1.具有较强的教学能力，落实课程思政要求，重视教学改革和科学研究。</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2.在近两届教学成果奖评选中获得国家级二等奖以上或省级最高奖。</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3.有省级及以上教育行政部门等认定的高水平教师教学（科研）创新团队，或省级及以上教学名师、高层次人才担任专业带头人，或专业教师获省级及以上教学领域有关奖励2项以上。</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4.近五年内在职在岗教师（教师团队）获得国家级奖励或荣誉1项以上（包括中央组织部、教育部、人力资源社会保障部主导的人才工程、竞赛项目或荣誉</w:t>
            </w:r>
            <w:r>
              <w:rPr>
                <w:rFonts w:ascii="宋体" w:eastAsia="宋体" w:hAnsi="宋体" w:cs="宋体" w:hint="eastAsia"/>
                <w:b w:val="0"/>
                <w:bCs w:val="0"/>
                <w:color w:val="auto"/>
                <w:sz w:val="21"/>
                <w:szCs w:val="21"/>
                <w:highlight w:val="none"/>
                <w:vertAlign w:val="baseline"/>
                <w:lang w:val="en-US" w:eastAsia="zh-CN"/>
              </w:rPr>
              <w:t>标准</w:t>
            </w:r>
            <w:r>
              <w:rPr>
                <w:rFonts w:ascii="宋体" w:eastAsia="宋体" w:hAnsi="宋体" w:cs="宋体" w:hint="eastAsia"/>
                <w:b w:val="0"/>
                <w:bCs w:val="0"/>
                <w:color w:val="auto"/>
                <w:sz w:val="21"/>
                <w:szCs w:val="21"/>
                <w:vertAlign w:val="baseline"/>
                <w:lang w:val="en-US" w:eastAsia="zh-CN"/>
              </w:rPr>
              <w:t>）。</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2.5教师发展</w:t>
            </w:r>
          </w:p>
        </w:tc>
        <w:tc>
          <w:tcPr>
            <w:tcW w:w="10204" w:type="dxa"/>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1.学校重视教师发展，教学能力培训机制完善，能够为教师学历提升、职业技能提升、学术交流等提供必要支持。</w:t>
            </w:r>
          </w:p>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highlight w:val="none"/>
                <w:vertAlign w:val="baseline"/>
                <w:lang w:val="en-US" w:eastAsia="zh-CN"/>
              </w:rPr>
              <w:t>2.学校专任教师每年参加学校及国内外企业及专业培训、研修教师达到总专任教师</w:t>
            </w:r>
            <w:r>
              <w:rPr>
                <w:rFonts w:ascii="宋体" w:eastAsia="宋体" w:hAnsi="宋体" w:cs="宋体" w:hint="eastAsia"/>
                <w:b w:val="0"/>
                <w:bCs w:val="0"/>
                <w:color w:val="auto"/>
                <w:sz w:val="21"/>
                <w:szCs w:val="21"/>
                <w:vertAlign w:val="baseline"/>
                <w:lang w:val="en-US" w:eastAsia="zh-CN"/>
              </w:rPr>
              <w:t>的一定比例。</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人才培养</w:t>
            </w: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3.1专业设置</w:t>
            </w:r>
          </w:p>
        </w:tc>
        <w:tc>
          <w:tcPr>
            <w:tcW w:w="10204" w:type="dxa"/>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1.专业设置对接国家和区域主导产业、支柱产业和战略性新兴产业设置专业。</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2.有3个以上专业群，原则上每个专业群含3-5个专业，建有专业随产业发展的动态调整机制，专业（群）结构总体合理。</w:t>
            </w:r>
          </w:p>
        </w:tc>
        <w:tc>
          <w:tcPr>
            <w:tcW w:w="778"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听汇报，看材料，召开师生座谈会</w:t>
            </w: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3.2培养目标</w:t>
            </w:r>
          </w:p>
        </w:tc>
        <w:tc>
          <w:tcPr>
            <w:tcW w:w="10204" w:type="dxa"/>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1.在培养规格上，知识水平达到本科层次，技能水平高于高职专科（比高职专科增加了创新性要求，包括工程思维、懂原理能设计；比普通本科更注重技能水平）。</w:t>
            </w:r>
          </w:p>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2.符合培养目标要求，毕业生应完成课内实训、认知实习、跟岗实习、顶岗实习等实践环节，具有较强的实践操作能力和关键技术应用能力。</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3.3培养模式</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1坚持产教融合、校企合作培养模式。</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校企合作共同制定专业人才培养方案，与行业企业开展深度合作，有2个及以上实质性运行的产教融合、校企合作项目（包括职业教育集团、现代学徒制、产业学院）。开展本科教育专业有1个以上合作稳定的规模以上企业。</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3.课程内容对接职业标准、教学过程对接生产过程，将新技术、新工艺、新规范纳入教学标准和教学内容。</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4.实践教学条件基本满足需要，实践教学经费有保障，实验开出率100%；实践性教学课时占总课时的50%以上，顶岗实习时间不少于6个月。</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3.4培养质量与成果</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1.落实立德树人的根本任务，坚持德智体美劳五育并举，形成社会主义核心价值观，符合现代大学生基本素质要求。</w:t>
            </w:r>
          </w:p>
          <w:p>
            <w:pPr>
              <w:numPr>
                <w:ilvl w:val="0"/>
                <w:numId w:val="0"/>
              </w:numPr>
              <w:jc w:val="left"/>
              <w:rPr>
                <w:rFonts w:ascii="宋体" w:eastAsia="宋体" w:hAnsi="宋体" w:cs="宋体" w:hint="eastAsia"/>
                <w:b w:val="0"/>
                <w:bCs w:val="0"/>
                <w:color w:val="auto"/>
                <w:sz w:val="21"/>
                <w:szCs w:val="21"/>
                <w:highlight w:val="yellow"/>
                <w:vertAlign w:val="baseline"/>
                <w:lang w:val="en-US" w:eastAsia="zh-CN"/>
              </w:rPr>
            </w:pPr>
            <w:r>
              <w:rPr>
                <w:rFonts w:ascii="宋体" w:eastAsia="宋体" w:hAnsi="宋体" w:cs="宋体" w:hint="eastAsia"/>
                <w:b w:val="0"/>
                <w:bCs w:val="0"/>
                <w:color w:val="auto"/>
                <w:sz w:val="21"/>
                <w:szCs w:val="21"/>
                <w:vertAlign w:val="baseline"/>
                <w:lang w:val="en-US" w:eastAsia="zh-CN"/>
              </w:rPr>
              <w:t>2.学生具有较高技能水平，获取X证书或职业技能等级证书获证率不低于</w:t>
            </w:r>
            <w:r>
              <w:rPr>
                <w:rFonts w:ascii="宋体" w:eastAsia="宋体" w:hAnsi="宋体" w:cs="宋体" w:hint="eastAsia"/>
                <w:b w:val="0"/>
                <w:bCs w:val="0"/>
                <w:color w:val="auto"/>
                <w:sz w:val="21"/>
                <w:szCs w:val="21"/>
                <w:highlight w:val="none"/>
                <w:vertAlign w:val="baseline"/>
                <w:lang w:val="en-US" w:eastAsia="zh-CN"/>
              </w:rPr>
              <w:t>50%。</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3.毕业生应完成人才培养方案规定的各项要求，较好地掌握本专业的基础理论、专门知识和基本技能。</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4.具有适应新兴技术和产业发展的可持续发展能力；具有在相关专业领域担负设计、开发、生产、服务等专门技术工作的能力；基本养成工匠精神和精益求精习惯。</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5.毕业设计（论文）应与专业实践相结合，选题应是来源于政府、行业、企业及社会委托机构的真实项目，或具有明确的实践应用背景。毕业设计（论文）可采用产品研发、毕业创作、应用研究、工程/项目管理、调研报告等多种形式。</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restart"/>
            <w:vAlign w:val="center"/>
          </w:tcPr>
          <w:p>
            <w:pPr>
              <w:jc w:val="center"/>
              <w:rPr>
                <w:rFonts w:ascii="宋体" w:eastAsia="宋体" w:hAnsi="宋体" w:cs="宋体" w:hint="eastAsia"/>
                <w:b w:val="0"/>
                <w:bCs w:val="0"/>
                <w:color w:val="auto"/>
                <w:sz w:val="21"/>
                <w:szCs w:val="21"/>
                <w:vertAlign w:val="baseline"/>
                <w:lang w:eastAsia="zh-CN"/>
              </w:rPr>
            </w:pPr>
            <w:r>
              <w:rPr>
                <w:rFonts w:ascii="宋体" w:eastAsia="宋体" w:hAnsi="宋体" w:cs="宋体" w:hint="eastAsia"/>
                <w:b w:val="0"/>
                <w:bCs w:val="0"/>
                <w:color w:val="auto"/>
                <w:sz w:val="21"/>
                <w:szCs w:val="21"/>
                <w:vertAlign w:val="baseline"/>
                <w:lang w:eastAsia="zh-CN"/>
              </w:rPr>
              <w:t>办学条件</w:t>
            </w: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4.1办学经费</w:t>
            </w:r>
          </w:p>
        </w:tc>
        <w:tc>
          <w:tcPr>
            <w:tcW w:w="10204" w:type="dxa"/>
            <w:vAlign w:val="center"/>
          </w:tcPr>
          <w:p>
            <w:pPr>
              <w:numPr>
                <w:ilvl w:val="0"/>
                <w:numId w:val="0"/>
              </w:numPr>
              <w:ind w:left="0" w:firstLine="0" w:leftChars="0" w:firstLineChars="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1.学校所需基本建设投资和教育事业费，须有稳定、可靠的来源和切实的保证。</w:t>
            </w:r>
          </w:p>
          <w:p>
            <w:pPr>
              <w:numPr>
                <w:ilvl w:val="0"/>
                <w:numId w:val="0"/>
              </w:numPr>
              <w:ind w:left="0" w:firstLine="0" w:leftChars="0" w:firstLineChars="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w:t>
            </w:r>
            <w:r>
              <w:rPr>
                <w:rFonts w:ascii="宋体" w:eastAsia="宋体" w:hAnsi="宋体" w:cs="宋体" w:hint="eastAsia"/>
                <w:b w:val="0"/>
                <w:bCs w:val="0"/>
                <w:color w:val="auto"/>
                <w:sz w:val="21"/>
                <w:szCs w:val="21"/>
                <w:vertAlign w:val="baseline"/>
              </w:rPr>
              <w:t>生均年教学日常运行支出</w:t>
            </w:r>
            <w:r>
              <w:rPr>
                <w:rFonts w:ascii="宋体" w:eastAsia="宋体" w:hAnsi="宋体" w:cs="宋体" w:hint="eastAsia"/>
                <w:b w:val="0"/>
                <w:bCs w:val="0"/>
                <w:color w:val="auto"/>
                <w:sz w:val="21"/>
                <w:szCs w:val="21"/>
                <w:vertAlign w:val="baseline"/>
              </w:rPr>
              <w:t>≥</w:t>
            </w:r>
            <w:r>
              <w:rPr>
                <w:rFonts w:ascii="宋体" w:eastAsia="宋体" w:hAnsi="宋体" w:cs="宋体" w:hint="eastAsia"/>
                <w:b w:val="0"/>
                <w:bCs w:val="0"/>
                <w:color w:val="auto"/>
                <w:sz w:val="21"/>
                <w:szCs w:val="21"/>
                <w:vertAlign w:val="baseline"/>
              </w:rPr>
              <w:t>1200元</w:t>
            </w:r>
            <w:r>
              <w:rPr>
                <w:rFonts w:ascii="宋体" w:eastAsia="宋体" w:hAnsi="宋体" w:cs="宋体" w:hint="eastAsia"/>
                <w:b w:val="0"/>
                <w:bCs w:val="0"/>
                <w:color w:val="auto"/>
                <w:sz w:val="21"/>
                <w:szCs w:val="21"/>
                <w:vertAlign w:val="baseline"/>
                <w:lang w:val="en-US" w:eastAsia="zh-CN"/>
              </w:rPr>
              <w:t>（见备注4）。</w:t>
            </w:r>
          </w:p>
        </w:tc>
        <w:tc>
          <w:tcPr>
            <w:tcW w:w="778"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实地查看并查阅相关材料</w:t>
            </w:r>
          </w:p>
        </w:tc>
      </w:tr>
      <w:tr>
        <w:tblPrEx>
          <w:tblW w:w="13967" w:type="dxa"/>
          <w:tblCellMar>
            <w:left w:w="108" w:type="dxa"/>
            <w:right w:w="108" w:type="dxa"/>
          </w:tblCellMar>
          <w:tblLook w:val="0000"/>
        </w:tblPrEx>
        <w:trPr>
          <w:trHeight w:val="90"/>
        </w:trPr>
        <w:tc>
          <w:tcPr>
            <w:tcW w:w="1260" w:type="dxa"/>
            <w:vMerge/>
            <w:vAlign w:val="center"/>
          </w:tcPr>
          <w:p>
            <w:pPr>
              <w:jc w:val="center"/>
              <w:rPr>
                <w:rFonts w:ascii="宋体" w:eastAsia="宋体" w:hAnsi="宋体" w:cs="宋体" w:hint="eastAsia"/>
                <w:b w:val="0"/>
                <w:bCs w:val="0"/>
                <w:color w:val="auto"/>
                <w:sz w:val="21"/>
                <w:szCs w:val="21"/>
                <w:vertAlign w:val="baseline"/>
                <w:lang w:eastAsia="zh-CN"/>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4.2办学硬件设施</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1.校园占地面积应不低于800亩，生均占地面积应不低于60平方米。</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2.生均校舍建筑面积应不低于30平方米。</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3.生均教学科研行政用房面积，综合、理工、农林、医药和师范类院校应不低于20平方米，文科类院校应不低于15平方米，体育、艺术类院校应不低于30平方米。</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4.生均教学科研仪器设备值，综合、理工、农林、医药和师范类院校应不低于1万元，文科类院校应不低于7000元，体育、艺术类院校应不低于8000元（见备注5）。</w:t>
            </w:r>
          </w:p>
          <w:p>
            <w:pPr>
              <w:numPr>
                <w:ilvl w:val="0"/>
                <w:numId w:val="0"/>
              </w:numPr>
              <w:ind w:left="0" w:firstLine="0" w:leftChars="0" w:firstLineChars="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5.生均图书不低于100册，可包括电子图书（图书总数=纸质图书数+折合数字图书，折合数字图书不得超过图书总数的40%）（见备注6），并建有现代电子图书系统和计算机网络服务体系。</w:t>
            </w:r>
          </w:p>
        </w:tc>
        <w:tc>
          <w:tcPr>
            <w:tcW w:w="778" w:type="dxa"/>
            <w:vMerge/>
            <w:vAlign w:val="center"/>
          </w:tcPr>
          <w:p>
            <w:pPr>
              <w:jc w:val="center"/>
              <w:rPr>
                <w:rFonts w:ascii="宋体" w:eastAsia="宋体" w:hAnsi="宋体" w:cs="宋体" w:hint="eastAsia"/>
                <w:b w:val="0"/>
                <w:bCs w:val="0"/>
                <w:color w:val="auto"/>
                <w:sz w:val="21"/>
                <w:szCs w:val="21"/>
                <w:vertAlign w:val="baseline"/>
                <w:lang w:val="en-US" w:eastAsia="zh-CN"/>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lang w:eastAsia="zh-CN"/>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4.3实训和实习场所</w:t>
            </w:r>
          </w:p>
        </w:tc>
        <w:tc>
          <w:tcPr>
            <w:tcW w:w="10204" w:type="dxa"/>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须拥有职业教育办学必需的产教融合实践平台、教学实训场所和顶岗实习基地，且能够支撑各专业的基础技能训练、技术技能实训和顶岗实习需要；综合、理工、农林类院校应当有必要的校内理实一体化教学场所、生产（经营）性实训基地和校外相对稳定的顶岗实习基地；师范类院校应当有附属的实验学校或固定的实习学校；医药类院校至少应当有一所直属附属医院和适应需要的教学医院。</w:t>
            </w:r>
          </w:p>
        </w:tc>
        <w:tc>
          <w:tcPr>
            <w:tcW w:w="778" w:type="dxa"/>
            <w:vMerge/>
            <w:vAlign w:val="center"/>
          </w:tcPr>
          <w:p>
            <w:pPr>
              <w:jc w:val="center"/>
              <w:rPr>
                <w:rFonts w:ascii="宋体" w:eastAsia="宋体" w:hAnsi="宋体" w:cs="宋体" w:hint="eastAsia"/>
                <w:b w:val="0"/>
                <w:bCs w:val="0"/>
                <w:color w:val="auto"/>
                <w:sz w:val="21"/>
                <w:szCs w:val="21"/>
                <w:vertAlign w:val="baseline"/>
                <w:lang w:val="en-US" w:eastAsia="zh-CN"/>
              </w:rPr>
            </w:pPr>
          </w:p>
        </w:tc>
      </w:tr>
      <w:tr>
        <w:tblPrEx>
          <w:tblW w:w="13967" w:type="dxa"/>
          <w:tblCellMar>
            <w:left w:w="108" w:type="dxa"/>
            <w:right w:w="108" w:type="dxa"/>
          </w:tblCellMar>
          <w:tblLook w:val="0000"/>
        </w:tblPrEx>
        <w:tc>
          <w:tcPr>
            <w:tcW w:w="1260" w:type="dxa"/>
            <w:vMerge w:val="restart"/>
            <w:vAlign w:val="center"/>
          </w:tcPr>
          <w:p>
            <w:pPr>
              <w:jc w:val="center"/>
              <w:rPr>
                <w:rFonts w:ascii="宋体" w:eastAsia="宋体" w:hAnsi="宋体" w:cs="宋体" w:hint="eastAsia"/>
                <w:b w:val="0"/>
                <w:bCs w:val="0"/>
                <w:color w:val="auto"/>
                <w:sz w:val="21"/>
                <w:szCs w:val="21"/>
                <w:vertAlign w:val="baseline"/>
              </w:rPr>
            </w:pPr>
            <w:r>
              <w:rPr>
                <w:rFonts w:ascii="宋体" w:eastAsia="宋体" w:hAnsi="宋体" w:cs="宋体" w:hint="eastAsia"/>
                <w:b w:val="0"/>
                <w:bCs w:val="0"/>
                <w:color w:val="auto"/>
                <w:sz w:val="21"/>
                <w:szCs w:val="21"/>
                <w:vertAlign w:val="baseline"/>
                <w:lang w:eastAsia="zh-CN"/>
              </w:rPr>
              <w:t>技术技能服务与创新</w:t>
            </w: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5.1纵向课题</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1.近五年累计立项厅级及以上科研课题20项以上。</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2.学校科研教研经费逐年增长。</w:t>
            </w:r>
          </w:p>
        </w:tc>
        <w:tc>
          <w:tcPr>
            <w:tcW w:w="778"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听汇报，看材料</w:t>
            </w: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5.2科研成果</w:t>
            </w:r>
          </w:p>
        </w:tc>
        <w:tc>
          <w:tcPr>
            <w:tcW w:w="10204" w:type="dxa"/>
            <w:vAlign w:val="center"/>
          </w:tcPr>
          <w:p>
            <w:pPr>
              <w:jc w:val="left"/>
              <w:rPr>
                <w:rFonts w:ascii="宋体" w:eastAsia="宋体" w:hAnsi="宋体" w:cs="宋体" w:hint="eastAsia"/>
                <w:b w:val="0"/>
                <w:bCs w:val="0"/>
                <w:color w:val="auto"/>
                <w:sz w:val="21"/>
                <w:szCs w:val="21"/>
                <w:vertAlign w:val="baseline"/>
                <w:lang w:eastAsia="zh-CN"/>
              </w:rPr>
            </w:pPr>
            <w:r>
              <w:rPr>
                <w:rFonts w:ascii="宋体" w:eastAsia="宋体" w:hAnsi="宋体" w:cs="宋体" w:hint="eastAsia"/>
                <w:b w:val="0"/>
                <w:bCs w:val="0"/>
                <w:color w:val="auto"/>
                <w:sz w:val="21"/>
                <w:szCs w:val="21"/>
                <w:vertAlign w:val="baseline"/>
                <w:lang w:val="en-US" w:eastAsia="zh-CN"/>
              </w:rPr>
              <w:t>1.</w:t>
            </w:r>
            <w:r>
              <w:rPr>
                <w:rFonts w:ascii="宋体" w:eastAsia="宋体" w:hAnsi="宋体" w:cs="宋体" w:hint="eastAsia"/>
                <w:b w:val="0"/>
                <w:bCs w:val="0"/>
                <w:color w:val="auto"/>
                <w:sz w:val="21"/>
                <w:szCs w:val="21"/>
                <w:vertAlign w:val="baseline"/>
              </w:rPr>
              <w:t>发表</w:t>
            </w:r>
            <w:r>
              <w:rPr>
                <w:rFonts w:ascii="宋体" w:eastAsia="宋体" w:hAnsi="宋体" w:cs="宋体" w:hint="eastAsia"/>
                <w:b w:val="0"/>
                <w:bCs w:val="0"/>
                <w:color w:val="auto"/>
                <w:sz w:val="21"/>
                <w:szCs w:val="21"/>
                <w:vertAlign w:val="baseline"/>
                <w:lang w:val="en-US" w:eastAsia="zh-CN"/>
              </w:rPr>
              <w:t>或出版</w:t>
            </w:r>
            <w:r>
              <w:rPr>
                <w:rFonts w:ascii="宋体" w:eastAsia="宋体" w:hAnsi="宋体" w:cs="宋体" w:hint="eastAsia"/>
                <w:b w:val="0"/>
                <w:bCs w:val="0"/>
                <w:color w:val="auto"/>
                <w:sz w:val="21"/>
                <w:szCs w:val="21"/>
                <w:vertAlign w:val="baseline"/>
              </w:rPr>
              <w:t>一定数量较高水平论文或专著、</w:t>
            </w:r>
            <w:r>
              <w:rPr>
                <w:rFonts w:ascii="宋体" w:eastAsia="宋体" w:hAnsi="宋体" w:cs="宋体" w:hint="eastAsia"/>
                <w:b w:val="0"/>
                <w:bCs w:val="0"/>
                <w:color w:val="auto"/>
                <w:sz w:val="21"/>
                <w:szCs w:val="21"/>
                <w:vertAlign w:val="baseline"/>
                <w:lang w:val="en-US" w:eastAsia="zh-CN"/>
              </w:rPr>
              <w:t>获批专利、地方经济社会发展的咨询报告等。</w:t>
            </w:r>
          </w:p>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2.有一定数量的科研奖励。</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5.3横向课题与社会服务</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1.服务企业的技术研发和产品升级，解决生产一线技术或工艺实际问题，形成技术技能特色优势，近五年横向技术服务与培训年均到账经费1000万以上（</w:t>
            </w:r>
            <w:r>
              <w:rPr>
                <w:rFonts w:ascii="宋体" w:eastAsia="宋体" w:hAnsi="宋体" w:cs="宋体" w:hint="eastAsia"/>
                <w:b w:val="0"/>
                <w:bCs w:val="0"/>
                <w:i w:val="0"/>
                <w:iCs w:val="0"/>
                <w:color w:val="auto"/>
                <w:kern w:val="0"/>
                <w:sz w:val="21"/>
                <w:szCs w:val="21"/>
                <w:u w:val="none"/>
                <w:lang w:val="en-US" w:eastAsia="zh-CN" w:bidi="ar"/>
              </w:rPr>
              <w:t>文科专业为主的学校500万元以上</w:t>
            </w:r>
            <w:r>
              <w:rPr>
                <w:rFonts w:ascii="宋体" w:eastAsia="宋体" w:hAnsi="宋体" w:cs="宋体" w:hint="eastAsia"/>
                <w:b w:val="0"/>
                <w:bCs w:val="0"/>
                <w:color w:val="auto"/>
                <w:sz w:val="21"/>
                <w:szCs w:val="21"/>
                <w:vertAlign w:val="baseline"/>
                <w:lang w:val="en-US" w:eastAsia="zh-CN"/>
              </w:rPr>
              <w:t>）。</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2.落实学历教育与培训并举的法定职责，近3年年均非学历培训人次不低于全日制在校生的2倍。</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c>
          <w:tcPr>
            <w:tcW w:w="1260"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管理制度</w:t>
            </w: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6.1治理水平</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1.建立以学校章程为核心的现代大学体制，内部组织机构健全、质量保证体制完善，行业企业深度参与办学；</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2.学校领导符合国家高等学校领导任职条件，具有较高政治素质和管理能力，熟悉职业教育原理和规律，了解学校主要专业领域相关的产业或行业。</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3.管理机构设置合理，职责明确，管理人员服务意识强，每年学校管理人员参加国内外和学校专项培训、研修班等研修达到一定比例。</w:t>
            </w:r>
          </w:p>
        </w:tc>
        <w:tc>
          <w:tcPr>
            <w:tcW w:w="778" w:type="dxa"/>
            <w:vMerge w:val="restart"/>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听汇报，召开校领导座谈会，看材料</w:t>
            </w:r>
          </w:p>
        </w:tc>
      </w:tr>
      <w:tr>
        <w:tblPrEx>
          <w:tblW w:w="13967" w:type="dxa"/>
          <w:tblCellMar>
            <w:left w:w="108" w:type="dxa"/>
            <w:right w:w="108" w:type="dxa"/>
          </w:tblCellMar>
          <w:tblLook w:val="0000"/>
        </w:tblPrEx>
        <w:tc>
          <w:tcPr>
            <w:tcW w:w="1260" w:type="dxa"/>
            <w:vMerge/>
            <w:vAlign w:val="center"/>
          </w:tcPr>
          <w:p>
            <w:pPr>
              <w:jc w:val="center"/>
              <w:rPr>
                <w:rFonts w:ascii="宋体" w:eastAsia="宋体" w:hAnsi="宋体" w:cs="宋体" w:hint="eastAsia"/>
                <w:b w:val="0"/>
                <w:bCs w:val="0"/>
                <w:color w:val="auto"/>
                <w:sz w:val="21"/>
                <w:szCs w:val="21"/>
                <w:vertAlign w:val="baseline"/>
              </w:rPr>
            </w:pPr>
          </w:p>
        </w:tc>
        <w:tc>
          <w:tcPr>
            <w:tcW w:w="1725" w:type="dxa"/>
            <w:vAlign w:val="center"/>
          </w:tcPr>
          <w:p>
            <w:pPr>
              <w:jc w:val="center"/>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6.2制度建设</w:t>
            </w:r>
          </w:p>
        </w:tc>
        <w:tc>
          <w:tcPr>
            <w:tcW w:w="10204" w:type="dxa"/>
            <w:vAlign w:val="center"/>
          </w:tcPr>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1.学校各项管理制度健全，包括党建规章制度、教学管理制度、学生管理制度、人事管理制度、财务管理制度等。</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2.设立学校学位评定委员会，制订学校学士学位授予标准及相关管理办法。</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3.建立完善的质量保障体系。</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4.建立专业建设保障机制</w:t>
            </w:r>
            <w:r>
              <w:rPr>
                <w:rFonts w:ascii="宋体" w:eastAsia="宋体" w:hAnsi="宋体" w:cs="宋体" w:hint="eastAsia"/>
                <w:b w:val="0"/>
                <w:bCs w:val="0"/>
                <w:color w:val="auto"/>
                <w:sz w:val="21"/>
                <w:szCs w:val="21"/>
              </w:rPr>
              <w:t>（包括新设专业）</w:t>
            </w:r>
            <w:r>
              <w:rPr>
                <w:rFonts w:ascii="宋体" w:eastAsia="宋体" w:hAnsi="宋体" w:cs="宋体" w:hint="eastAsia"/>
                <w:b w:val="0"/>
                <w:bCs w:val="0"/>
                <w:color w:val="auto"/>
                <w:sz w:val="21"/>
                <w:szCs w:val="21"/>
                <w:lang w:eastAsia="zh-CN"/>
              </w:rPr>
              <w:t>。</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5.建立质量保障机制，开展职业本科教育自查工作，每年年底发布学校质量年度报告和职业本科阶段性总结报告，接受社会监督。</w:t>
            </w:r>
          </w:p>
          <w:p>
            <w:pPr>
              <w:numPr>
                <w:ilvl w:val="0"/>
                <w:numId w:val="0"/>
              </w:num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6.主要教学环节的质量标准执行规范，教学运行平稳有序。</w:t>
            </w:r>
          </w:p>
        </w:tc>
        <w:tc>
          <w:tcPr>
            <w:tcW w:w="778" w:type="dxa"/>
            <w:vMerge/>
            <w:vAlign w:val="center"/>
          </w:tcPr>
          <w:p>
            <w:pPr>
              <w:jc w:val="center"/>
              <w:rPr>
                <w:rFonts w:ascii="宋体" w:eastAsia="宋体" w:hAnsi="宋体" w:cs="宋体" w:hint="eastAsia"/>
                <w:b w:val="0"/>
                <w:bCs w:val="0"/>
                <w:color w:val="auto"/>
                <w:sz w:val="21"/>
                <w:szCs w:val="21"/>
                <w:vertAlign w:val="baseline"/>
              </w:rPr>
            </w:pPr>
          </w:p>
        </w:tc>
      </w:tr>
      <w:tr>
        <w:tblPrEx>
          <w:tblW w:w="13967" w:type="dxa"/>
          <w:tblCellMar>
            <w:left w:w="108" w:type="dxa"/>
            <w:right w:w="108" w:type="dxa"/>
          </w:tblCellMar>
          <w:tblLook w:val="0000"/>
        </w:tblPrEx>
        <w:trPr>
          <w:trHeight w:val="1246"/>
        </w:trPr>
        <w:tc>
          <w:tcPr>
            <w:tcW w:w="13967" w:type="dxa"/>
            <w:gridSpan w:val="4"/>
            <w:vAlign w:val="center"/>
          </w:tcPr>
          <w:p>
            <w:pPr>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说明：</w:t>
            </w:r>
          </w:p>
          <w:p>
            <w:pPr>
              <w:numPr>
                <w:ilvl w:val="0"/>
                <w:numId w:val="0"/>
              </w:numPr>
              <w:ind w:firstLine="420" w:firstLineChars="20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1.本指标体系共有6项一级指标、20项二级指标，对每项二级指标按</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合格</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或</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不合格</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两级评定。</w:t>
            </w:r>
          </w:p>
          <w:p>
            <w:pPr>
              <w:numPr>
                <w:ilvl w:val="0"/>
                <w:numId w:val="0"/>
              </w:numPr>
              <w:ind w:firstLine="420" w:firstLineChars="20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2.注有</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号的为关键指标，本指标体系共有8项关键指标。</w:t>
            </w:r>
          </w:p>
          <w:p>
            <w:pPr>
              <w:numPr>
                <w:ilvl w:val="0"/>
                <w:numId w:val="0"/>
              </w:numPr>
              <w:ind w:firstLine="420" w:firstLineChars="20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3.专家根据有关规定对受评学校按本指标体系逐一进行考察评审，对20项二级指标做出</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合格</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或</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不合格</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评定；二级指标不合格指标数</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4项（其中重点指标</w:t>
            </w:r>
            <w:r>
              <w:rPr>
                <w:rFonts w:ascii="宋体" w:eastAsia="宋体" w:hAnsi="宋体" w:cs="宋体" w:hint="eastAsia"/>
                <w:b w:val="0"/>
                <w:bCs w:val="0"/>
                <w:color w:val="auto"/>
                <w:sz w:val="21"/>
                <w:szCs w:val="21"/>
                <w:vertAlign w:val="baseline"/>
                <w:lang w:val="en-US" w:eastAsia="zh-CN"/>
              </w:rPr>
              <w:t>≤</w:t>
            </w:r>
            <w:r>
              <w:rPr>
                <w:rFonts w:ascii="宋体" w:eastAsia="宋体" w:hAnsi="宋体" w:cs="宋体" w:hint="eastAsia"/>
                <w:b w:val="0"/>
                <w:bCs w:val="0"/>
                <w:color w:val="auto"/>
                <w:sz w:val="21"/>
                <w:szCs w:val="21"/>
                <w:vertAlign w:val="baseline"/>
                <w:lang w:val="en-US" w:eastAsia="zh-CN"/>
              </w:rPr>
              <w:t>2项），总体评价合格，否则为不合格。。</w:t>
            </w:r>
          </w:p>
          <w:p>
            <w:pPr>
              <w:numPr>
                <w:ilvl w:val="0"/>
                <w:numId w:val="0"/>
              </w:numPr>
              <w:ind w:firstLine="420" w:firstLineChars="20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4.专家组根据评定结果，以无记名投票方式进行表决，同意票达到或超过参评专家人数2/3或以上的，专家组可做出将受评学校增列为学士学位授予单位的决议，否则不予增列。</w:t>
            </w:r>
          </w:p>
          <w:p>
            <w:pPr>
              <w:numPr>
                <w:ilvl w:val="0"/>
                <w:numId w:val="0"/>
              </w:numPr>
              <w:ind w:firstLine="420" w:firstLineChars="200"/>
              <w:jc w:val="left"/>
              <w:rPr>
                <w:rFonts w:ascii="宋体" w:eastAsia="宋体" w:hAnsi="宋体" w:cs="宋体" w:hint="eastAsia"/>
                <w:b w:val="0"/>
                <w:bCs w:val="0"/>
                <w:color w:val="auto"/>
                <w:sz w:val="21"/>
                <w:szCs w:val="21"/>
                <w:vertAlign w:val="baseline"/>
                <w:lang w:val="en-US" w:eastAsia="zh-CN"/>
              </w:rPr>
            </w:pPr>
            <w:r>
              <w:rPr>
                <w:rFonts w:ascii="宋体" w:eastAsia="宋体" w:hAnsi="宋体" w:cs="宋体" w:hint="eastAsia"/>
                <w:b w:val="0"/>
                <w:bCs w:val="0"/>
                <w:color w:val="auto"/>
                <w:sz w:val="21"/>
                <w:szCs w:val="21"/>
                <w:vertAlign w:val="baseline"/>
                <w:lang w:val="en-US" w:eastAsia="zh-CN"/>
              </w:rPr>
              <w:t>5.专家组评议结果报海南省学位委员会审批，并将审批结果报国务院学位委员会、教育部备案。</w:t>
            </w:r>
          </w:p>
        </w:tc>
      </w:tr>
    </w:tbl>
    <w:p>
      <w:pPr>
        <w:jc w:val="left"/>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备注：</w:t>
      </w:r>
    </w:p>
    <w:p>
      <w:pPr>
        <w:ind w:firstLine="420" w:firstLineChars="200"/>
        <w:jc w:val="left"/>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1.生师比=折合在校生数/专任教师总数</w:t>
      </w:r>
      <w:r>
        <w:rPr>
          <w:rFonts w:ascii="宋体" w:eastAsia="宋体" w:hAnsi="宋体" w:cs="宋体" w:hint="eastAsia"/>
          <w:b w:val="0"/>
          <w:bCs w:val="0"/>
          <w:color w:val="auto"/>
          <w:sz w:val="21"/>
          <w:szCs w:val="21"/>
          <w:lang w:val="en-US" w:eastAsia="zh-CN"/>
        </w:rPr>
        <w:t>≤</w:t>
      </w:r>
      <w:r>
        <w:rPr>
          <w:rFonts w:ascii="宋体" w:eastAsia="宋体" w:hAnsi="宋体" w:cs="宋体" w:hint="eastAsia"/>
          <w:b w:val="0"/>
          <w:bCs w:val="0"/>
          <w:color w:val="auto"/>
          <w:sz w:val="21"/>
          <w:szCs w:val="21"/>
          <w:lang w:val="en-US" w:eastAsia="zh-CN"/>
        </w:rPr>
        <w:t>18:1。</w:t>
      </w:r>
    </w:p>
    <w:p>
      <w:pPr>
        <w:numPr>
          <w:ilvl w:val="0"/>
          <w:numId w:val="0"/>
        </w:numPr>
        <w:ind w:firstLine="420" w:firstLineChars="200"/>
        <w:jc w:val="left"/>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2.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p>
    <w:p>
      <w:pPr>
        <w:numPr>
          <w:ilvl w:val="0"/>
          <w:numId w:val="0"/>
        </w:numPr>
        <w:ind w:firstLine="420" w:leftChars="0" w:firstLineChars="200"/>
        <w:jc w:val="left"/>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3.专任教师总数=本校专任教师数+本学年聘请校外（主要是企业）教师数*0.5。</w:t>
      </w:r>
    </w:p>
    <w:p>
      <w:pPr>
        <w:numPr>
          <w:ilvl w:val="0"/>
          <w:numId w:val="0"/>
        </w:numPr>
        <w:ind w:firstLine="420" w:leftChars="0"/>
        <w:jc w:val="left"/>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4.生均年教学日常运行支出=教学日常运行支出/折合在校生数。教学日常运行支出：指学校开展普通本专科教学活动及其辅助活动发生的支出，仅指教学基本支出中的商品和服务支出（302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pPr>
        <w:ind w:firstLine="420" w:firstLineChars="200"/>
        <w:jc w:val="left"/>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5.年新增教学科研仪器设备所占比例（参照教育部教发〔2004〕2号文件）：年新增教学科研仪器设备所占比例</w:t>
      </w:r>
      <w:r>
        <w:rPr>
          <w:rFonts w:ascii="宋体" w:eastAsia="宋体" w:hAnsi="宋体" w:cs="宋体" w:hint="eastAsia"/>
          <w:b w:val="0"/>
          <w:bCs w:val="0"/>
          <w:color w:val="auto"/>
          <w:sz w:val="21"/>
          <w:szCs w:val="21"/>
          <w:lang w:val="en-US" w:eastAsia="zh-CN"/>
        </w:rPr>
        <w:t>≥</w:t>
      </w:r>
      <w:r>
        <w:rPr>
          <w:rFonts w:ascii="宋体" w:eastAsia="宋体" w:hAnsi="宋体" w:cs="宋体" w:hint="eastAsia"/>
          <w:b w:val="0"/>
          <w:bCs w:val="0"/>
          <w:color w:val="auto"/>
          <w:sz w:val="21"/>
          <w:szCs w:val="21"/>
          <w:lang w:val="en-US" w:eastAsia="zh-CN"/>
        </w:rPr>
        <w:t>10%。凡教学仪器设备总值超过1亿元的高校，当年新增教学仪器设备值超过1000万元，该项指标即为合格。</w:t>
      </w:r>
    </w:p>
    <w:p>
      <w:pPr>
        <w:ind w:firstLine="420" w:firstLineChars="200"/>
        <w:jc w:val="left"/>
        <w:rPr>
          <w:color w:val="auto"/>
        </w:rPr>
      </w:pPr>
      <w:r>
        <w:rPr>
          <w:rFonts w:ascii="宋体" w:eastAsia="宋体" w:hAnsi="宋体" w:cs="宋体" w:hint="eastAsia"/>
          <w:b w:val="0"/>
          <w:bCs w:val="0"/>
          <w:color w:val="auto"/>
          <w:sz w:val="21"/>
          <w:szCs w:val="21"/>
          <w:lang w:val="en-US" w:eastAsia="zh-CN"/>
        </w:rPr>
        <w:t>6.折合数字图书=纸质图书/60%*40%（数字图书＞2/3纸质图书）或数字图书（数字图书</w:t>
      </w:r>
      <w:r>
        <w:rPr>
          <w:rFonts w:ascii="宋体" w:eastAsia="宋体" w:hAnsi="宋体" w:cs="宋体" w:hint="eastAsia"/>
          <w:b w:val="0"/>
          <w:bCs w:val="0"/>
          <w:color w:val="auto"/>
          <w:sz w:val="21"/>
          <w:szCs w:val="21"/>
          <w:lang w:val="en-US" w:eastAsia="zh-CN"/>
        </w:rPr>
        <w:t>≤</w:t>
      </w:r>
      <w:r>
        <w:rPr>
          <w:rFonts w:ascii="宋体" w:eastAsia="宋体" w:hAnsi="宋体" w:cs="宋体" w:hint="eastAsia"/>
          <w:b w:val="0"/>
          <w:bCs w:val="0"/>
          <w:color w:val="auto"/>
          <w:sz w:val="21"/>
          <w:szCs w:val="21"/>
          <w:lang w:val="en-US" w:eastAsia="zh-CN"/>
        </w:rPr>
        <w:t>2/3纸质图书）。</w:t>
      </w:r>
    </w:p>
    <w:sectPr>
      <w:footerReference w:type="default" r:id="rId4"/>
      <w:type w:val="nextPage"/>
      <w:pgSz w:w="16838" w:h="11906" w:orient="landscape"/>
      <w:pgMar w:top="1803" w:right="1440" w:bottom="1803" w:left="1440" w:header="851" w:footer="992" w:gutter="0"/>
      <w:paperSrc w:first="0" w:other="0"/>
      <w:cols w:space="708"/>
      <w:titlePg w:val="0"/>
      <w:rtlGutter w:val="0"/>
      <w:docGrid w:type="lines" w:linePitch="319" w:char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4002EFF" w:usb1="C000247B" w:usb2="00000009" w:usb3="00000000" w:csb0="200001F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00"/>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1" w:usb1="08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B2FE150B"/>
    <w:rsid w:val="B8FF93B7"/>
    <w:rsid w:val="BCEF602D"/>
    <w:rsid w:val="CA7F5582"/>
    <w:rsid w:val="CF5E05C5"/>
    <w:rsid w:val="DC57B759"/>
    <w:rsid w:val="DCE7813E"/>
    <w:rsid w:val="DEF65A8C"/>
    <w:rsid w:val="DFFB1BB5"/>
    <w:rsid w:val="DFFE8577"/>
    <w:rsid w:val="E5FBB5C6"/>
    <w:rsid w:val="F67DF976"/>
    <w:rsid w:val="F7FDDFB5"/>
    <w:rsid w:val="028E13EB"/>
    <w:rsid w:val="03062D2F"/>
    <w:rsid w:val="03AF33C7"/>
    <w:rsid w:val="052B2F21"/>
    <w:rsid w:val="05544226"/>
    <w:rsid w:val="06EE12EA"/>
    <w:rsid w:val="07214574"/>
    <w:rsid w:val="08366959"/>
    <w:rsid w:val="08AF79C5"/>
    <w:rsid w:val="0B097709"/>
    <w:rsid w:val="0C0369A6"/>
    <w:rsid w:val="0CCE2B10"/>
    <w:rsid w:val="0CE802FE"/>
    <w:rsid w:val="0D7F205C"/>
    <w:rsid w:val="108A1EA1"/>
    <w:rsid w:val="1090632E"/>
    <w:rsid w:val="116814F8"/>
    <w:rsid w:val="117A7DCD"/>
    <w:rsid w:val="12333415"/>
    <w:rsid w:val="156A53A0"/>
    <w:rsid w:val="15826B8D"/>
    <w:rsid w:val="161F43DC"/>
    <w:rsid w:val="1663076D"/>
    <w:rsid w:val="16E16614"/>
    <w:rsid w:val="19145D4E"/>
    <w:rsid w:val="192561AE"/>
    <w:rsid w:val="1AC25B01"/>
    <w:rsid w:val="1B3136F0"/>
    <w:rsid w:val="1CBD494F"/>
    <w:rsid w:val="1DF0665E"/>
    <w:rsid w:val="1FA140B4"/>
    <w:rsid w:val="205E3D53"/>
    <w:rsid w:val="20E7612C"/>
    <w:rsid w:val="216C470C"/>
    <w:rsid w:val="238A778E"/>
    <w:rsid w:val="23A128D5"/>
    <w:rsid w:val="24EC7B7F"/>
    <w:rsid w:val="26EF3957"/>
    <w:rsid w:val="29AA1DB7"/>
    <w:rsid w:val="2A3C6EB3"/>
    <w:rsid w:val="2BC74EA2"/>
    <w:rsid w:val="2E183793"/>
    <w:rsid w:val="2EA25753"/>
    <w:rsid w:val="2FA554FB"/>
    <w:rsid w:val="2FD22068"/>
    <w:rsid w:val="302E7E11"/>
    <w:rsid w:val="3251196A"/>
    <w:rsid w:val="34F051CA"/>
    <w:rsid w:val="35BE7316"/>
    <w:rsid w:val="3607223C"/>
    <w:rsid w:val="363A20AB"/>
    <w:rsid w:val="37D361D6"/>
    <w:rsid w:val="38C344BA"/>
    <w:rsid w:val="3944179F"/>
    <w:rsid w:val="3B633984"/>
    <w:rsid w:val="3D94095C"/>
    <w:rsid w:val="41AE6491"/>
    <w:rsid w:val="43F565F9"/>
    <w:rsid w:val="44870CE9"/>
    <w:rsid w:val="44B34AD4"/>
    <w:rsid w:val="451E1B7F"/>
    <w:rsid w:val="45E71B7C"/>
    <w:rsid w:val="46256F3D"/>
    <w:rsid w:val="46870D6D"/>
    <w:rsid w:val="473D718D"/>
    <w:rsid w:val="47936288"/>
    <w:rsid w:val="47CD33E9"/>
    <w:rsid w:val="4805005F"/>
    <w:rsid w:val="4A331C29"/>
    <w:rsid w:val="4A563878"/>
    <w:rsid w:val="4A6F4AD4"/>
    <w:rsid w:val="4A8A55C1"/>
    <w:rsid w:val="4C101AF6"/>
    <w:rsid w:val="4C6D0CF6"/>
    <w:rsid w:val="4CEC4311"/>
    <w:rsid w:val="4D783DF7"/>
    <w:rsid w:val="4E035DB6"/>
    <w:rsid w:val="4E3C37DD"/>
    <w:rsid w:val="4E8A3DE2"/>
    <w:rsid w:val="51A46F68"/>
    <w:rsid w:val="51EE0B2B"/>
    <w:rsid w:val="52567AFD"/>
    <w:rsid w:val="536F17F8"/>
    <w:rsid w:val="54324CFF"/>
    <w:rsid w:val="55085A60"/>
    <w:rsid w:val="55850DDF"/>
    <w:rsid w:val="566E5D97"/>
    <w:rsid w:val="573B036F"/>
    <w:rsid w:val="57BA19F4"/>
    <w:rsid w:val="584D65AC"/>
    <w:rsid w:val="587F072F"/>
    <w:rsid w:val="5889471A"/>
    <w:rsid w:val="58AD0E20"/>
    <w:rsid w:val="59883613"/>
    <w:rsid w:val="59DF76D7"/>
    <w:rsid w:val="5AF820D3"/>
    <w:rsid w:val="5B4D0671"/>
    <w:rsid w:val="5B9B5880"/>
    <w:rsid w:val="5BE74621"/>
    <w:rsid w:val="5C5872CD"/>
    <w:rsid w:val="5C6E6AF1"/>
    <w:rsid w:val="5D7F9C2C"/>
    <w:rsid w:val="5D9F112C"/>
    <w:rsid w:val="5EBB3857"/>
    <w:rsid w:val="5F89424D"/>
    <w:rsid w:val="5FAA6092"/>
    <w:rsid w:val="5FD149F1"/>
    <w:rsid w:val="618D7A19"/>
    <w:rsid w:val="63B0682D"/>
    <w:rsid w:val="64E75692"/>
    <w:rsid w:val="65444892"/>
    <w:rsid w:val="65490DB7"/>
    <w:rsid w:val="689A0C6D"/>
    <w:rsid w:val="68C22344"/>
    <w:rsid w:val="691E364C"/>
    <w:rsid w:val="69793BA0"/>
    <w:rsid w:val="6B5259F4"/>
    <w:rsid w:val="6B9876E6"/>
    <w:rsid w:val="6C615D2A"/>
    <w:rsid w:val="6C7041BF"/>
    <w:rsid w:val="6D5835D1"/>
    <w:rsid w:val="6D7E6944"/>
    <w:rsid w:val="6E2D0758"/>
    <w:rsid w:val="6E82642B"/>
    <w:rsid w:val="6EDF7E5B"/>
    <w:rsid w:val="6EEC639A"/>
    <w:rsid w:val="6F484F7F"/>
    <w:rsid w:val="6FBFCD29"/>
    <w:rsid w:val="6FDB4045"/>
    <w:rsid w:val="712745DC"/>
    <w:rsid w:val="722F2426"/>
    <w:rsid w:val="728F0FFC"/>
    <w:rsid w:val="731042D1"/>
    <w:rsid w:val="73A11102"/>
    <w:rsid w:val="73E21E46"/>
    <w:rsid w:val="75AB1E67"/>
    <w:rsid w:val="75EF26FE"/>
    <w:rsid w:val="7750356B"/>
    <w:rsid w:val="77DF1E64"/>
    <w:rsid w:val="781E7167"/>
    <w:rsid w:val="78A642AE"/>
    <w:rsid w:val="7B605B9E"/>
    <w:rsid w:val="7BC47041"/>
    <w:rsid w:val="7BFBEDE8"/>
    <w:rsid w:val="7CBC7432"/>
    <w:rsid w:val="7D1961AD"/>
    <w:rsid w:val="7D7B7E35"/>
    <w:rsid w:val="7DD31C51"/>
    <w:rsid w:val="7DE744BC"/>
    <w:rsid w:val="7DF7132B"/>
    <w:rsid w:val="7EB919F5"/>
    <w:rsid w:val="7F3C40CC"/>
    <w:rsid w:val="7F5F2DF9"/>
    <w:rsid w:val="7F5FE891"/>
    <w:rsid w:val="7FB16630"/>
    <w:rsid w:val="7FCE4C93"/>
    <w:rsid w:val="7FFFD955"/>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31">
    <w:name w:val="font31"/>
    <w:basedOn w:val="DefaultParagraphFont"/>
    <w:qFormat/>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157302720</TotalTime>
  <Pages>6</Pages>
  <Words>3714</Words>
  <Characters>3922</Characters>
  <Application>Microsoft Office Word</Application>
  <DocSecurity>0</DocSecurity>
  <Lines>0</Lines>
  <Paragraphs>0</Paragraphs>
  <ScaleCrop>false</ScaleCrop>
  <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笨熊 •梓枫</cp:lastModifiedBy>
  <cp:revision>0</cp:revision>
  <dcterms:created xsi:type="dcterms:W3CDTF">2021-11-22T06:03:28Z</dcterms:created>
  <dcterms:modified xsi:type="dcterms:W3CDTF">2022-04-30T06:43:34Z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FCD9F02B5AC24E4EB7EE7C1841B875EF</vt:lpwstr>
  </property>
  <property fmtid="{D5CDD505-2E9C-101B-9397-08002B2CF9AE}" pid="3" name="KSOProductBuildVer">
    <vt:lpwstr>2052-11.1.0.11636</vt:lpwstr>
  </property>
</Properties>
</file>