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4 -->
  <w:body>
    <w:p>
      <w:pPr>
        <w:jc w:val="left"/>
        <w:rPr>
          <w:rFonts w:ascii="黑体" w:eastAsia="黑体" w:hAnsi="黑体" w:cs="黑体" w:hint="eastAsia"/>
          <w:b w:val="0"/>
          <w:bCs w:val="0"/>
          <w:color w:val="auto"/>
          <w:sz w:val="32"/>
          <w:szCs w:val="32"/>
          <w:lang w:val="en-US" w:eastAsia="zh-CN"/>
        </w:rPr>
      </w:pPr>
      <w:r>
        <w:rPr>
          <w:rFonts w:ascii="黑体" w:eastAsia="黑体" w:hAnsi="黑体" w:cs="黑体" w:hint="eastAsia"/>
          <w:b w:val="0"/>
          <w:bCs w:val="0"/>
          <w:color w:val="auto"/>
          <w:sz w:val="32"/>
          <w:szCs w:val="32"/>
          <w:lang w:eastAsia="zh-CN"/>
        </w:rPr>
        <w:t>附件</w:t>
      </w:r>
      <w:r>
        <w:rPr>
          <w:rFonts w:ascii="黑体" w:eastAsia="黑体" w:hAnsi="黑体" w:cs="黑体" w:hint="eastAsia"/>
          <w:b w:val="0"/>
          <w:bCs w:val="0"/>
          <w:color w:val="auto"/>
          <w:sz w:val="32"/>
          <w:szCs w:val="32"/>
          <w:lang w:val="en-US" w:eastAsia="zh-CN"/>
        </w:rPr>
        <w:t>4</w:t>
      </w:r>
    </w:p>
    <w:p>
      <w:pPr>
        <w:jc w:val="center"/>
        <w:rPr>
          <w:rFonts w:eastAsia="宋体" w:hint="eastAsia"/>
          <w:b/>
          <w:bCs/>
          <w:color w:val="auto"/>
          <w:sz w:val="32"/>
          <w:szCs w:val="32"/>
          <w:lang w:eastAsia="zh-CN"/>
        </w:rPr>
      </w:pPr>
      <w:r>
        <w:rPr>
          <w:rFonts w:ascii="方正小标宋_GBK" w:eastAsia="方正小标宋_GBK" w:hAnsi="方正小标宋_GBK" w:cs="方正小标宋_GBK" w:hint="eastAsia"/>
          <w:b w:val="0"/>
          <w:bCs w:val="0"/>
          <w:color w:val="auto"/>
          <w:sz w:val="36"/>
          <w:szCs w:val="36"/>
          <w:lang w:eastAsia="zh-CN"/>
        </w:rPr>
        <w:t>海南</w:t>
      </w:r>
      <w:r>
        <w:rPr>
          <w:rFonts w:ascii="方正小标宋_GBK" w:eastAsia="方正小标宋_GBK" w:hAnsi="方正小标宋_GBK" w:cs="方正小标宋_GBK" w:hint="eastAsia"/>
          <w:b w:val="0"/>
          <w:bCs w:val="0"/>
          <w:color w:val="auto"/>
          <w:sz w:val="36"/>
          <w:szCs w:val="36"/>
        </w:rPr>
        <w:t>省</w:t>
      </w:r>
      <w:r>
        <w:rPr>
          <w:rFonts w:ascii="方正小标宋_GBK" w:eastAsia="方正小标宋_GBK" w:hAnsi="方正小标宋_GBK" w:cs="方正小标宋_GBK" w:hint="eastAsia"/>
          <w:b w:val="0"/>
          <w:bCs w:val="0"/>
          <w:color w:val="auto"/>
          <w:sz w:val="36"/>
          <w:szCs w:val="36"/>
          <w:lang w:val="en-US" w:eastAsia="zh-CN"/>
        </w:rPr>
        <w:t>本科层次职业学校</w:t>
      </w:r>
      <w:r>
        <w:rPr>
          <w:rFonts w:ascii="方正小标宋_GBK" w:eastAsia="方正小标宋_GBK" w:hAnsi="方正小标宋_GBK" w:cs="方正小标宋_GBK" w:hint="eastAsia"/>
          <w:b w:val="0"/>
          <w:bCs w:val="0"/>
          <w:color w:val="auto"/>
          <w:sz w:val="36"/>
          <w:szCs w:val="36"/>
        </w:rPr>
        <w:t>学士学位授</w:t>
      </w:r>
      <w:r>
        <w:rPr>
          <w:rFonts w:ascii="方正小标宋_GBK" w:eastAsia="方正小标宋_GBK" w:hAnsi="方正小标宋_GBK" w:cs="方正小标宋_GBK" w:hint="eastAsia"/>
          <w:b w:val="0"/>
          <w:bCs w:val="0"/>
          <w:color w:val="auto"/>
          <w:sz w:val="36"/>
          <w:szCs w:val="36"/>
          <w:lang w:eastAsia="zh-CN"/>
        </w:rPr>
        <w:t>权专业</w:t>
      </w:r>
      <w:r>
        <w:rPr>
          <w:rFonts w:ascii="方正小标宋_GBK" w:eastAsia="方正小标宋_GBK" w:hAnsi="方正小标宋_GBK" w:cs="方正小标宋_GBK" w:hint="eastAsia"/>
          <w:b w:val="0"/>
          <w:bCs w:val="0"/>
          <w:color w:val="auto"/>
          <w:sz w:val="36"/>
          <w:szCs w:val="36"/>
        </w:rPr>
        <w:t>审核标准</w:t>
      </w:r>
    </w:p>
    <w:tbl>
      <w:tblPr>
        <w:tblStyle w:val="TableGrid"/>
        <w:tblW w:w="13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1421"/>
        <w:gridCol w:w="1691"/>
        <w:gridCol w:w="10077"/>
        <w:gridCol w:w="778"/>
      </w:tblGrid>
      <w:tr>
        <w:tblPrEx>
          <w:tblW w:w="13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587"/>
          <w:tblHeader/>
        </w:trPr>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Calibri" w:eastAsia="宋体" w:hAnsi="Calibri" w:hint="default"/>
                <w:b/>
                <w:bCs/>
                <w:color w:val="auto"/>
                <w:sz w:val="24"/>
                <w:szCs w:val="24"/>
                <w:vertAlign w:val="baseline"/>
                <w:lang w:val="en-US" w:eastAsia="zh-CN"/>
              </w:rPr>
            </w:pPr>
            <w:r>
              <w:rPr>
                <w:rFonts w:ascii="Calibri" w:hAnsi="Calibri" w:hint="default"/>
                <w:b/>
                <w:bCs/>
                <w:color w:val="auto"/>
                <w:sz w:val="24"/>
                <w:szCs w:val="24"/>
                <w:vertAlign w:val="baseline"/>
                <w:lang w:val="en-US" w:eastAsia="zh-CN"/>
              </w:rPr>
              <w:t>一级指标</w:t>
            </w:r>
          </w:p>
        </w:tc>
        <w:tc>
          <w:tcPr>
            <w:tcW w:w="169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Calibri" w:eastAsia="宋体" w:hAnsi="Calibri" w:hint="default"/>
                <w:b/>
                <w:bCs/>
                <w:color w:val="auto"/>
                <w:sz w:val="24"/>
                <w:szCs w:val="24"/>
                <w:vertAlign w:val="baseline"/>
                <w:lang w:val="en-US" w:eastAsia="zh-CN"/>
              </w:rPr>
            </w:pPr>
            <w:r>
              <w:rPr>
                <w:rFonts w:ascii="Calibri" w:hAnsi="Calibri" w:hint="default"/>
                <w:b/>
                <w:bCs/>
                <w:color w:val="auto"/>
                <w:sz w:val="24"/>
                <w:szCs w:val="24"/>
                <w:vertAlign w:val="baseline"/>
                <w:lang w:val="en-US" w:eastAsia="zh-CN"/>
              </w:rPr>
              <w:t>二级指标</w:t>
            </w:r>
          </w:p>
        </w:tc>
        <w:tc>
          <w:tcPr>
            <w:tcW w:w="1007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Calibri" w:eastAsia="宋体" w:hAnsi="Calibri" w:hint="default"/>
                <w:b/>
                <w:bCs/>
                <w:color w:val="auto"/>
                <w:sz w:val="24"/>
                <w:szCs w:val="24"/>
                <w:vertAlign w:val="baseline"/>
                <w:lang w:val="en-US" w:eastAsia="zh-CN"/>
              </w:rPr>
            </w:pPr>
            <w:r>
              <w:rPr>
                <w:rFonts w:ascii="Calibri" w:hAnsi="Calibri" w:hint="default"/>
                <w:b/>
                <w:bCs/>
                <w:color w:val="auto"/>
                <w:sz w:val="24"/>
                <w:szCs w:val="24"/>
                <w:vertAlign w:val="baseline"/>
                <w:lang w:val="en-US" w:eastAsia="zh-CN"/>
              </w:rPr>
              <w:t>指标内涵及合格标准</w:t>
            </w:r>
          </w:p>
        </w:tc>
        <w:tc>
          <w:tcPr>
            <w:tcW w:w="77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Calibri" w:eastAsia="宋体" w:hAnsi="Calibri" w:hint="default"/>
                <w:b/>
                <w:bCs/>
                <w:color w:val="auto"/>
                <w:sz w:val="24"/>
                <w:szCs w:val="24"/>
                <w:vertAlign w:val="baseline"/>
                <w:lang w:val="en-US" w:eastAsia="zh-CN"/>
              </w:rPr>
            </w:pPr>
            <w:r>
              <w:rPr>
                <w:rFonts w:ascii="Calibri" w:hAnsi="Calibri" w:hint="default"/>
                <w:b/>
                <w:bCs/>
                <w:color w:val="auto"/>
                <w:sz w:val="24"/>
                <w:szCs w:val="24"/>
                <w:vertAlign w:val="baseline"/>
                <w:lang w:val="en-US" w:eastAsia="zh-CN"/>
              </w:rPr>
              <w:t>评审方法</w:t>
            </w:r>
          </w:p>
        </w:tc>
      </w:tr>
      <w:tr>
        <w:tblPrEx>
          <w:tblW w:w="13967" w:type="dxa"/>
          <w:tblCellMar>
            <w:top w:w="0" w:type="dxa"/>
            <w:left w:w="108" w:type="dxa"/>
            <w:bottom w:w="0" w:type="dxa"/>
            <w:right w:w="108" w:type="dxa"/>
          </w:tblCellMar>
          <w:tblLook w:val="0000"/>
        </w:tblPrEx>
        <w:tc>
          <w:tcPr>
            <w:tcW w:w="1421" w:type="dxa"/>
            <w:vMerge w:val="restart"/>
            <w:vAlign w:val="center"/>
          </w:tcPr>
          <w:p>
            <w:pPr>
              <w:jc w:val="center"/>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kern w:val="0"/>
                <w:sz w:val="21"/>
                <w:szCs w:val="21"/>
                <w:lang w:val="en-US" w:eastAsia="zh-CN" w:bidi="ar"/>
              </w:rPr>
              <w:t>专业定位</w:t>
            </w:r>
          </w:p>
        </w:tc>
        <w:tc>
          <w:tcPr>
            <w:tcW w:w="1691" w:type="dxa"/>
            <w:vAlign w:val="center"/>
          </w:tcPr>
          <w:p>
            <w:pPr>
              <w:jc w:val="center"/>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1.1专业设置</w:t>
            </w:r>
          </w:p>
        </w:tc>
        <w:tc>
          <w:tcPr>
            <w:tcW w:w="10077" w:type="dxa"/>
            <w:vAlign w:val="center"/>
          </w:tcPr>
          <w:p>
            <w:pPr>
              <w:numPr>
                <w:ilvl w:val="0"/>
                <w:numId w:val="0"/>
              </w:numPr>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1.专业紧紧围绕国家和区域经济社会产业发展重点领域，服务产业新业态、新模式，对接新职业，聚焦确需长学制培养的相关专业；</w:t>
            </w:r>
          </w:p>
          <w:p>
            <w:pPr>
              <w:numPr>
                <w:ilvl w:val="0"/>
                <w:numId w:val="0"/>
              </w:numPr>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2.专业设置体现了职业教育类型特点，与学校办学特色相契合。</w:t>
            </w:r>
          </w:p>
        </w:tc>
        <w:tc>
          <w:tcPr>
            <w:tcW w:w="778" w:type="dxa"/>
            <w:vMerge w:val="restart"/>
            <w:vAlign w:val="center"/>
          </w:tcPr>
          <w:p>
            <w:pPr>
              <w:jc w:val="center"/>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听汇报，看材料</w:t>
            </w:r>
          </w:p>
        </w:tc>
      </w:tr>
      <w:tr>
        <w:tblPrEx>
          <w:tblW w:w="13967" w:type="dxa"/>
          <w:tblCellMar>
            <w:top w:w="0" w:type="dxa"/>
            <w:left w:w="108" w:type="dxa"/>
            <w:bottom w:w="0" w:type="dxa"/>
            <w:right w:w="108" w:type="dxa"/>
          </w:tblCellMar>
          <w:tblLook w:val="0000"/>
        </w:tblPrEx>
        <w:trPr>
          <w:trHeight w:val="90"/>
        </w:trPr>
        <w:tc>
          <w:tcPr>
            <w:tcW w:w="1421" w:type="dxa"/>
            <w:vMerge/>
            <w:vAlign w:val="center"/>
          </w:tcPr>
          <w:p>
            <w:pPr>
              <w:jc w:val="center"/>
              <w:rPr>
                <w:rFonts w:ascii="Calibri" w:eastAsia="宋体" w:hAnsi="Calibri" w:cs="宋体" w:hint="default"/>
                <w:b w:val="0"/>
                <w:bCs w:val="0"/>
                <w:color w:val="auto"/>
                <w:sz w:val="21"/>
                <w:szCs w:val="21"/>
                <w:vertAlign w:val="baseline"/>
              </w:rPr>
            </w:pPr>
          </w:p>
        </w:tc>
        <w:tc>
          <w:tcPr>
            <w:tcW w:w="1691" w:type="dxa"/>
            <w:vAlign w:val="center"/>
          </w:tcPr>
          <w:p>
            <w:pPr>
              <w:jc w:val="center"/>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1.2培养目标</w:t>
            </w:r>
          </w:p>
        </w:tc>
        <w:tc>
          <w:tcPr>
            <w:tcW w:w="10077" w:type="dxa"/>
            <w:vAlign w:val="center"/>
          </w:tcPr>
          <w:p>
            <w:pPr>
              <w:numPr>
                <w:ilvl w:val="0"/>
                <w:numId w:val="0"/>
              </w:numPr>
              <w:ind w:left="0" w:firstLine="0" w:leftChars="0" w:firstLineChars="0"/>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1.聚焦经济社会发展重点产业领域的需求，准确对应职业岗位。</w:t>
            </w:r>
          </w:p>
        </w:tc>
        <w:tc>
          <w:tcPr>
            <w:tcW w:w="778" w:type="dxa"/>
            <w:vMerge/>
            <w:vAlign w:val="center"/>
          </w:tcPr>
          <w:p>
            <w:pPr>
              <w:jc w:val="center"/>
              <w:rPr>
                <w:rFonts w:ascii="Calibri" w:eastAsia="宋体" w:hAnsi="Calibri" w:cs="宋体" w:hint="default"/>
                <w:b w:val="0"/>
                <w:bCs w:val="0"/>
                <w:color w:val="auto"/>
                <w:sz w:val="21"/>
                <w:szCs w:val="21"/>
                <w:vertAlign w:val="baseline"/>
              </w:rPr>
            </w:pPr>
          </w:p>
        </w:tc>
      </w:tr>
      <w:tr>
        <w:tblPrEx>
          <w:tblW w:w="13967" w:type="dxa"/>
          <w:tblCellMar>
            <w:top w:w="0" w:type="dxa"/>
            <w:left w:w="108" w:type="dxa"/>
            <w:bottom w:w="0" w:type="dxa"/>
            <w:right w:w="108" w:type="dxa"/>
          </w:tblCellMar>
          <w:tblLook w:val="0000"/>
        </w:tblPrEx>
        <w:trPr>
          <w:trHeight w:val="90"/>
        </w:trPr>
        <w:tc>
          <w:tcPr>
            <w:tcW w:w="1421" w:type="dxa"/>
            <w:vMerge/>
            <w:vAlign w:val="center"/>
          </w:tcPr>
          <w:p>
            <w:pPr>
              <w:jc w:val="center"/>
              <w:rPr>
                <w:rFonts w:ascii="Calibri" w:eastAsia="宋体" w:hAnsi="Calibri" w:cs="宋体" w:hint="default"/>
                <w:b w:val="0"/>
                <w:bCs w:val="0"/>
                <w:color w:val="auto"/>
                <w:sz w:val="21"/>
                <w:szCs w:val="21"/>
                <w:vertAlign w:val="baseline"/>
              </w:rPr>
            </w:pPr>
          </w:p>
        </w:tc>
        <w:tc>
          <w:tcPr>
            <w:tcW w:w="1691" w:type="dxa"/>
            <w:vAlign w:val="center"/>
          </w:tcPr>
          <w:p>
            <w:pPr>
              <w:jc w:val="center"/>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w:t>
            </w:r>
            <w:r>
              <w:rPr>
                <w:rFonts w:ascii="Calibri" w:eastAsia="宋体" w:hAnsi="Calibri" w:cs="宋体" w:hint="default"/>
                <w:b w:val="0"/>
                <w:bCs w:val="0"/>
                <w:color w:val="auto"/>
                <w:sz w:val="21"/>
                <w:szCs w:val="21"/>
                <w:vertAlign w:val="baseline"/>
                <w:lang w:val="en-US" w:eastAsia="zh-CN"/>
              </w:rPr>
              <w:t>1.3培养方案</w:t>
            </w:r>
          </w:p>
        </w:tc>
        <w:tc>
          <w:tcPr>
            <w:tcW w:w="10077" w:type="dxa"/>
            <w:vAlign w:val="center"/>
          </w:tcPr>
          <w:p>
            <w:pPr>
              <w:numPr>
                <w:ilvl w:val="0"/>
                <w:numId w:val="0"/>
              </w:numPr>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1.人才培养方案契合新技术革命和产业转型升级对高层次技术技能人才的需求；</w:t>
            </w:r>
          </w:p>
          <w:p>
            <w:pPr>
              <w:numPr>
                <w:ilvl w:val="0"/>
                <w:numId w:val="0"/>
              </w:numPr>
              <w:ind w:left="0" w:firstLine="0" w:leftChars="0" w:firstLineChars="0"/>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2.培养方案由校企共同制订，遵循技术技能人才成长规律，突出知识与技能的高层次，使毕业生能够从事科技成果、实验成果转化，生产加工中高端产品、提供中高端服务，能够解决较复杂问题和进行较复杂操作；</w:t>
            </w:r>
          </w:p>
          <w:p>
            <w:pPr>
              <w:numPr>
                <w:ilvl w:val="0"/>
                <w:numId w:val="0"/>
              </w:numPr>
              <w:ind w:left="0" w:firstLine="0" w:leftChars="0" w:firstLineChars="0"/>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3.实践教学课时占总课时的比例不低于50%。</w:t>
            </w:r>
          </w:p>
        </w:tc>
        <w:tc>
          <w:tcPr>
            <w:tcW w:w="778" w:type="dxa"/>
            <w:vMerge/>
            <w:vAlign w:val="center"/>
          </w:tcPr>
          <w:p>
            <w:pPr>
              <w:jc w:val="center"/>
              <w:rPr>
                <w:rFonts w:ascii="Calibri" w:eastAsia="宋体" w:hAnsi="Calibri" w:cs="宋体" w:hint="default"/>
                <w:b w:val="0"/>
                <w:bCs w:val="0"/>
                <w:color w:val="auto"/>
                <w:sz w:val="21"/>
                <w:szCs w:val="21"/>
                <w:vertAlign w:val="baseline"/>
              </w:rPr>
            </w:pPr>
          </w:p>
        </w:tc>
      </w:tr>
      <w:tr>
        <w:tblPrEx>
          <w:tblW w:w="13967" w:type="dxa"/>
          <w:tblCellMar>
            <w:top w:w="0" w:type="dxa"/>
            <w:left w:w="108" w:type="dxa"/>
            <w:bottom w:w="0" w:type="dxa"/>
            <w:right w:w="108" w:type="dxa"/>
          </w:tblCellMar>
          <w:tblLook w:val="0000"/>
        </w:tblPrEx>
        <w:trPr>
          <w:trHeight w:val="90"/>
        </w:trPr>
        <w:tc>
          <w:tcPr>
            <w:tcW w:w="1421" w:type="dxa"/>
            <w:vMerge w:val="restart"/>
            <w:vAlign w:val="center"/>
          </w:tcPr>
          <w:p>
            <w:pPr>
              <w:jc w:val="center"/>
              <w:rPr>
                <w:rFonts w:ascii="Calibri" w:eastAsia="宋体" w:hAnsi="Calibri" w:cs="宋体" w:hint="default"/>
                <w:b w:val="0"/>
                <w:bCs w:val="0"/>
                <w:color w:val="auto"/>
                <w:sz w:val="21"/>
                <w:szCs w:val="21"/>
                <w:vertAlign w:val="baseline"/>
              </w:rPr>
            </w:pPr>
            <w:r>
              <w:rPr>
                <w:rFonts w:ascii="Calibri" w:eastAsia="宋体" w:hAnsi="Calibri" w:cs="宋体" w:hint="default"/>
                <w:b w:val="0"/>
                <w:bCs w:val="0"/>
                <w:color w:val="auto"/>
                <w:kern w:val="0"/>
                <w:sz w:val="21"/>
                <w:szCs w:val="21"/>
                <w:lang w:val="en-US" w:eastAsia="zh-CN" w:bidi="ar"/>
              </w:rPr>
              <w:t>师资队伍</w:t>
            </w:r>
          </w:p>
        </w:tc>
        <w:tc>
          <w:tcPr>
            <w:tcW w:w="1691" w:type="dxa"/>
            <w:vAlign w:val="center"/>
          </w:tcPr>
          <w:p>
            <w:pPr>
              <w:jc w:val="center"/>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2.1师德师风</w:t>
            </w:r>
          </w:p>
        </w:tc>
        <w:tc>
          <w:tcPr>
            <w:tcW w:w="10077" w:type="dxa"/>
            <w:vAlign w:val="center"/>
          </w:tcPr>
          <w:p>
            <w:pPr>
              <w:numPr>
                <w:ilvl w:val="0"/>
                <w:numId w:val="1"/>
              </w:numPr>
              <w:tabs>
                <w:tab w:val="left" w:pos="312"/>
              </w:tabs>
              <w:ind w:leftChars="0"/>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爱岗敬业、教书育人、学术诚信。</w:t>
            </w:r>
          </w:p>
          <w:p>
            <w:pPr>
              <w:numPr>
                <w:ilvl w:val="0"/>
                <w:numId w:val="1"/>
              </w:numPr>
              <w:tabs>
                <w:tab w:val="left" w:pos="312"/>
              </w:tabs>
              <w:ind w:leftChars="0"/>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三年无重大影响的师德师风问题。</w:t>
            </w:r>
          </w:p>
        </w:tc>
        <w:tc>
          <w:tcPr>
            <w:tcW w:w="778" w:type="dxa"/>
            <w:vMerge w:val="restart"/>
            <w:vAlign w:val="center"/>
          </w:tcPr>
          <w:p>
            <w:pPr>
              <w:jc w:val="center"/>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看材料，教师座谈</w:t>
            </w:r>
          </w:p>
        </w:tc>
      </w:tr>
      <w:tr>
        <w:tblPrEx>
          <w:tblW w:w="13967" w:type="dxa"/>
          <w:tblCellMar>
            <w:top w:w="0" w:type="dxa"/>
            <w:left w:w="108" w:type="dxa"/>
            <w:bottom w:w="0" w:type="dxa"/>
            <w:right w:w="108" w:type="dxa"/>
          </w:tblCellMar>
          <w:tblLook w:val="0000"/>
        </w:tblPrEx>
        <w:trPr>
          <w:trHeight w:val="90"/>
        </w:trPr>
        <w:tc>
          <w:tcPr>
            <w:tcW w:w="1421" w:type="dxa"/>
            <w:vMerge/>
            <w:vAlign w:val="center"/>
          </w:tcPr>
          <w:p>
            <w:pPr>
              <w:jc w:val="center"/>
              <w:rPr>
                <w:rFonts w:ascii="Calibri" w:eastAsia="宋体" w:hAnsi="Calibri" w:cs="宋体" w:hint="default"/>
                <w:b w:val="0"/>
                <w:bCs w:val="0"/>
                <w:color w:val="auto"/>
                <w:sz w:val="21"/>
                <w:szCs w:val="21"/>
                <w:vertAlign w:val="baseline"/>
              </w:rPr>
            </w:pPr>
          </w:p>
        </w:tc>
        <w:tc>
          <w:tcPr>
            <w:tcW w:w="1691" w:type="dxa"/>
            <w:vAlign w:val="center"/>
          </w:tcPr>
          <w:p>
            <w:pPr>
              <w:jc w:val="center"/>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w:t>
            </w:r>
            <w:r>
              <w:rPr>
                <w:rFonts w:ascii="Calibri" w:eastAsia="宋体" w:hAnsi="Calibri" w:cs="宋体" w:hint="default"/>
                <w:b w:val="0"/>
                <w:bCs w:val="0"/>
                <w:color w:val="auto"/>
                <w:sz w:val="21"/>
                <w:szCs w:val="21"/>
                <w:vertAlign w:val="baseline"/>
                <w:lang w:val="en-US" w:eastAsia="zh-CN"/>
              </w:rPr>
              <w:t>2.2队伍数量</w:t>
            </w:r>
          </w:p>
        </w:tc>
        <w:tc>
          <w:tcPr>
            <w:tcW w:w="10077" w:type="dxa"/>
            <w:vAlign w:val="center"/>
          </w:tcPr>
          <w:p>
            <w:pPr>
              <w:numPr>
                <w:ilvl w:val="0"/>
                <w:numId w:val="0"/>
              </w:numPr>
              <w:ind w:leftChars="0"/>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1.有完成专业人才培养方案所必需的专职教师队伍及教学辅助人员。</w:t>
            </w:r>
          </w:p>
          <w:p>
            <w:pPr>
              <w:numPr>
                <w:ilvl w:val="0"/>
                <w:numId w:val="0"/>
              </w:numPr>
              <w:ind w:leftChars="0"/>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2.专任教师与该专业全日制在校生人数之比</w:t>
            </w:r>
            <w:r>
              <w:rPr>
                <w:rFonts w:ascii="Calibri" w:eastAsia="宋体" w:hAnsi="Calibri" w:cs="宋体" w:hint="default"/>
                <w:b w:val="0"/>
                <w:bCs w:val="0"/>
                <w:color w:val="auto"/>
                <w:sz w:val="21"/>
                <w:szCs w:val="21"/>
                <w:vertAlign w:val="baseline"/>
                <w:lang w:val="en-US" w:eastAsia="zh-CN"/>
              </w:rPr>
              <w:t>≥</w:t>
            </w:r>
            <w:r>
              <w:rPr>
                <w:rFonts w:ascii="Calibri" w:eastAsia="宋体" w:hAnsi="Calibri" w:cs="宋体" w:hint="default"/>
                <w:b w:val="0"/>
                <w:bCs w:val="0"/>
                <w:color w:val="auto"/>
                <w:sz w:val="21"/>
                <w:szCs w:val="21"/>
                <w:vertAlign w:val="baseline"/>
                <w:lang w:val="en-US" w:eastAsia="zh-CN"/>
              </w:rPr>
              <w:t>1:20（见备注1-3）。</w:t>
            </w:r>
          </w:p>
        </w:tc>
        <w:tc>
          <w:tcPr>
            <w:tcW w:w="778" w:type="dxa"/>
            <w:vMerge/>
            <w:vAlign w:val="center"/>
          </w:tcPr>
          <w:p>
            <w:pPr>
              <w:jc w:val="center"/>
              <w:rPr>
                <w:rFonts w:ascii="Calibri" w:eastAsia="宋体" w:hAnsi="Calibri" w:cs="宋体" w:hint="default"/>
                <w:b w:val="0"/>
                <w:bCs w:val="0"/>
                <w:color w:val="auto"/>
                <w:sz w:val="21"/>
                <w:szCs w:val="21"/>
                <w:vertAlign w:val="baseline"/>
              </w:rPr>
            </w:pPr>
          </w:p>
        </w:tc>
      </w:tr>
      <w:tr>
        <w:tblPrEx>
          <w:tblW w:w="13967" w:type="dxa"/>
          <w:tblCellMar>
            <w:top w:w="0" w:type="dxa"/>
            <w:left w:w="108" w:type="dxa"/>
            <w:bottom w:w="0" w:type="dxa"/>
            <w:right w:w="108" w:type="dxa"/>
          </w:tblCellMar>
          <w:tblLook w:val="0000"/>
        </w:tblPrEx>
        <w:trPr>
          <w:trHeight w:val="90"/>
        </w:trPr>
        <w:tc>
          <w:tcPr>
            <w:tcW w:w="1421" w:type="dxa"/>
            <w:vMerge/>
            <w:vAlign w:val="center"/>
          </w:tcPr>
          <w:p>
            <w:pPr>
              <w:jc w:val="center"/>
              <w:rPr>
                <w:rFonts w:ascii="Calibri" w:eastAsia="宋体" w:hAnsi="Calibri" w:cs="宋体" w:hint="default"/>
                <w:b w:val="0"/>
                <w:bCs w:val="0"/>
                <w:color w:val="auto"/>
                <w:sz w:val="21"/>
                <w:szCs w:val="21"/>
                <w:vertAlign w:val="baseline"/>
              </w:rPr>
            </w:pPr>
          </w:p>
        </w:tc>
        <w:tc>
          <w:tcPr>
            <w:tcW w:w="1691" w:type="dxa"/>
            <w:vAlign w:val="center"/>
          </w:tcPr>
          <w:p>
            <w:pPr>
              <w:jc w:val="center"/>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w:t>
            </w:r>
            <w:r>
              <w:rPr>
                <w:rFonts w:ascii="Calibri" w:eastAsia="宋体" w:hAnsi="Calibri" w:cs="宋体" w:hint="default"/>
                <w:b w:val="0"/>
                <w:bCs w:val="0"/>
                <w:color w:val="auto"/>
                <w:sz w:val="21"/>
                <w:szCs w:val="21"/>
                <w:vertAlign w:val="baseline"/>
                <w:lang w:val="en-US" w:eastAsia="zh-CN"/>
              </w:rPr>
              <w:t>2.3队伍结构</w:t>
            </w:r>
          </w:p>
        </w:tc>
        <w:tc>
          <w:tcPr>
            <w:tcW w:w="10077" w:type="dxa"/>
            <w:vAlign w:val="center"/>
          </w:tcPr>
          <w:p>
            <w:pPr>
              <w:numPr>
                <w:ilvl w:val="0"/>
                <w:numId w:val="0"/>
              </w:numPr>
              <w:ind w:leftChars="0"/>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1.具有高级专业技术职务的专任教师比例</w:t>
            </w:r>
            <w:r>
              <w:rPr>
                <w:rFonts w:ascii="Calibri" w:eastAsia="宋体" w:hAnsi="Calibri" w:cs="宋体" w:hint="default"/>
                <w:b w:val="0"/>
                <w:bCs w:val="0"/>
                <w:color w:val="auto"/>
                <w:sz w:val="21"/>
                <w:szCs w:val="21"/>
                <w:vertAlign w:val="baseline"/>
                <w:lang w:val="en-US" w:eastAsia="zh-CN"/>
              </w:rPr>
              <w:t>≥</w:t>
            </w:r>
            <w:r>
              <w:rPr>
                <w:rFonts w:ascii="Calibri" w:eastAsia="宋体" w:hAnsi="Calibri" w:cs="宋体" w:hint="default"/>
                <w:b w:val="0"/>
                <w:bCs w:val="0"/>
                <w:color w:val="auto"/>
                <w:sz w:val="21"/>
                <w:szCs w:val="21"/>
                <w:vertAlign w:val="baseline"/>
                <w:lang w:val="en-US" w:eastAsia="zh-CN"/>
              </w:rPr>
              <w:t>30%。</w:t>
            </w:r>
          </w:p>
          <w:p>
            <w:pPr>
              <w:numPr>
                <w:ilvl w:val="0"/>
                <w:numId w:val="0"/>
              </w:numPr>
              <w:ind w:leftChars="0"/>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2.具有硕士及以上学位专任教师比例</w:t>
            </w:r>
            <w:r>
              <w:rPr>
                <w:rFonts w:ascii="Calibri" w:eastAsia="宋体" w:hAnsi="Calibri" w:cs="宋体" w:hint="default"/>
                <w:b w:val="0"/>
                <w:bCs w:val="0"/>
                <w:color w:val="auto"/>
                <w:sz w:val="21"/>
                <w:szCs w:val="21"/>
                <w:vertAlign w:val="baseline"/>
                <w:lang w:val="en-US" w:eastAsia="zh-CN"/>
              </w:rPr>
              <w:t>≥</w:t>
            </w:r>
            <w:r>
              <w:rPr>
                <w:rFonts w:ascii="Calibri" w:eastAsia="宋体" w:hAnsi="Calibri" w:cs="宋体" w:hint="default"/>
                <w:b w:val="0"/>
                <w:bCs w:val="0"/>
                <w:color w:val="auto"/>
                <w:sz w:val="21"/>
                <w:szCs w:val="21"/>
                <w:vertAlign w:val="baseline"/>
                <w:lang w:val="en-US" w:eastAsia="zh-CN"/>
              </w:rPr>
              <w:t>50%。</w:t>
            </w:r>
          </w:p>
          <w:p>
            <w:pPr>
              <w:numPr>
                <w:ilvl w:val="0"/>
                <w:numId w:val="0"/>
              </w:numPr>
              <w:ind w:leftChars="0"/>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3.具有博士学位专业专任教师比例</w:t>
            </w:r>
            <w:r>
              <w:rPr>
                <w:rFonts w:ascii="Calibri" w:eastAsia="宋体" w:hAnsi="Calibri" w:cs="宋体" w:hint="default"/>
                <w:b w:val="0"/>
                <w:bCs w:val="0"/>
                <w:color w:val="auto"/>
                <w:sz w:val="21"/>
                <w:szCs w:val="21"/>
                <w:vertAlign w:val="baseline"/>
                <w:lang w:val="en-US" w:eastAsia="zh-CN"/>
              </w:rPr>
              <w:t>≥</w:t>
            </w:r>
            <w:r>
              <w:rPr>
                <w:rFonts w:ascii="Calibri" w:eastAsia="宋体" w:hAnsi="Calibri" w:cs="宋体" w:hint="default"/>
                <w:b w:val="0"/>
                <w:bCs w:val="0"/>
                <w:color w:val="auto"/>
                <w:sz w:val="21"/>
                <w:szCs w:val="21"/>
                <w:vertAlign w:val="baseline"/>
                <w:lang w:val="en-US" w:eastAsia="zh-CN"/>
              </w:rPr>
              <w:t>15%。</w:t>
            </w:r>
          </w:p>
          <w:p>
            <w:pPr>
              <w:numPr>
                <w:ilvl w:val="0"/>
                <w:numId w:val="0"/>
              </w:numPr>
              <w:ind w:leftChars="0"/>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4.专任专业课教师中具有三年以上企业工作经历，或近五年累计不低于6个月到企业或生产服务一线实践经历的</w:t>
            </w:r>
            <w:r>
              <w:rPr>
                <w:rFonts w:ascii="Calibri" w:eastAsia="宋体" w:hAnsi="Calibri" w:cs="宋体" w:hint="default"/>
                <w:b w:val="0"/>
                <w:bCs w:val="0"/>
                <w:color w:val="auto"/>
                <w:sz w:val="21"/>
                <w:szCs w:val="21"/>
                <w:vertAlign w:val="baseline"/>
                <w:lang w:val="en-US" w:eastAsia="zh-CN"/>
              </w:rPr>
              <w:t>“</w:t>
            </w:r>
            <w:r>
              <w:rPr>
                <w:rFonts w:ascii="Calibri" w:eastAsia="宋体" w:hAnsi="Calibri" w:cs="宋体" w:hint="default"/>
                <w:b w:val="0"/>
                <w:bCs w:val="0"/>
                <w:color w:val="auto"/>
                <w:sz w:val="21"/>
                <w:szCs w:val="21"/>
                <w:vertAlign w:val="baseline"/>
                <w:lang w:val="en-US" w:eastAsia="zh-CN"/>
              </w:rPr>
              <w:t>双师型</w:t>
            </w:r>
            <w:r>
              <w:rPr>
                <w:rFonts w:ascii="Calibri" w:eastAsia="宋体" w:hAnsi="Calibri" w:cs="宋体" w:hint="default"/>
                <w:b w:val="0"/>
                <w:bCs w:val="0"/>
                <w:color w:val="auto"/>
                <w:sz w:val="21"/>
                <w:szCs w:val="21"/>
                <w:vertAlign w:val="baseline"/>
                <w:lang w:val="en-US" w:eastAsia="zh-CN"/>
              </w:rPr>
              <w:t>”</w:t>
            </w:r>
            <w:r>
              <w:rPr>
                <w:rFonts w:ascii="Calibri" w:eastAsia="宋体" w:hAnsi="Calibri" w:cs="宋体" w:hint="default"/>
                <w:b w:val="0"/>
                <w:bCs w:val="0"/>
                <w:color w:val="auto"/>
                <w:sz w:val="21"/>
                <w:szCs w:val="21"/>
                <w:vertAlign w:val="baseline"/>
                <w:lang w:val="en-US" w:eastAsia="zh-CN"/>
              </w:rPr>
              <w:t>教师比例</w:t>
            </w:r>
            <w:r>
              <w:rPr>
                <w:rFonts w:ascii="Calibri" w:eastAsia="宋体" w:hAnsi="Calibri" w:cs="宋体" w:hint="default"/>
                <w:b w:val="0"/>
                <w:bCs w:val="0"/>
                <w:color w:val="auto"/>
                <w:sz w:val="21"/>
                <w:szCs w:val="21"/>
                <w:vertAlign w:val="baseline"/>
                <w:lang w:val="en-US" w:eastAsia="zh-CN"/>
              </w:rPr>
              <w:t>≥</w:t>
            </w:r>
            <w:r>
              <w:rPr>
                <w:rFonts w:ascii="Calibri" w:eastAsia="宋体" w:hAnsi="Calibri" w:cs="宋体" w:hint="default"/>
                <w:b w:val="0"/>
                <w:bCs w:val="0"/>
                <w:color w:val="auto"/>
                <w:sz w:val="21"/>
                <w:szCs w:val="21"/>
                <w:vertAlign w:val="baseline"/>
                <w:lang w:val="en-US" w:eastAsia="zh-CN"/>
              </w:rPr>
              <w:t>50%。</w:t>
            </w:r>
          </w:p>
          <w:p>
            <w:pPr>
              <w:numPr>
                <w:ilvl w:val="0"/>
                <w:numId w:val="0"/>
              </w:numPr>
              <w:ind w:left="0" w:firstLine="0" w:leftChars="0" w:firstLineChars="0"/>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5.来自行业企业一线的兼职教师占一定比例并有实质性专业教学任务，所承担的专业课教学任务授课课时一般不少于专业课总课时的20%。</w:t>
            </w:r>
          </w:p>
        </w:tc>
        <w:tc>
          <w:tcPr>
            <w:tcW w:w="778" w:type="dxa"/>
            <w:vMerge/>
            <w:vAlign w:val="center"/>
          </w:tcPr>
          <w:p>
            <w:pPr>
              <w:jc w:val="center"/>
              <w:rPr>
                <w:rFonts w:ascii="Calibri" w:eastAsia="宋体" w:hAnsi="Calibri" w:cs="宋体" w:hint="default"/>
                <w:b w:val="0"/>
                <w:bCs w:val="0"/>
                <w:color w:val="auto"/>
                <w:sz w:val="21"/>
                <w:szCs w:val="21"/>
                <w:vertAlign w:val="baseline"/>
              </w:rPr>
            </w:pPr>
          </w:p>
        </w:tc>
      </w:tr>
      <w:tr>
        <w:tblPrEx>
          <w:tblW w:w="13967" w:type="dxa"/>
          <w:tblCellMar>
            <w:top w:w="0" w:type="dxa"/>
            <w:left w:w="108" w:type="dxa"/>
            <w:bottom w:w="0" w:type="dxa"/>
            <w:right w:w="108" w:type="dxa"/>
          </w:tblCellMar>
          <w:tblLook w:val="0000"/>
        </w:tblPrEx>
        <w:trPr>
          <w:trHeight w:val="90"/>
        </w:trPr>
        <w:tc>
          <w:tcPr>
            <w:tcW w:w="1421" w:type="dxa"/>
            <w:vMerge/>
            <w:vAlign w:val="center"/>
          </w:tcPr>
          <w:p>
            <w:pPr>
              <w:jc w:val="center"/>
              <w:rPr>
                <w:rFonts w:ascii="Calibri" w:eastAsia="宋体" w:hAnsi="Calibri" w:cs="宋体" w:hint="default"/>
                <w:b w:val="0"/>
                <w:bCs w:val="0"/>
                <w:color w:val="auto"/>
                <w:sz w:val="21"/>
                <w:szCs w:val="21"/>
                <w:vertAlign w:val="baseline"/>
              </w:rPr>
            </w:pPr>
          </w:p>
        </w:tc>
        <w:tc>
          <w:tcPr>
            <w:tcW w:w="1691" w:type="dxa"/>
            <w:vAlign w:val="center"/>
          </w:tcPr>
          <w:p>
            <w:pPr>
              <w:jc w:val="center"/>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2.4教学水平</w:t>
            </w:r>
          </w:p>
        </w:tc>
        <w:tc>
          <w:tcPr>
            <w:tcW w:w="10077" w:type="dxa"/>
            <w:vAlign w:val="center"/>
          </w:tcPr>
          <w:p>
            <w:pPr>
              <w:numPr>
                <w:ilvl w:val="0"/>
                <w:numId w:val="0"/>
              </w:numPr>
              <w:ind w:left="0" w:firstLine="0" w:leftChars="0" w:firstLineChars="0"/>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1.有省级及以上教育行政部门等认定的高水平教师教学（科研）创新团队，或省级及以上教学名师、高层次人才担任专业带头人，或专业教师获省级及以上教学领域有关奖励2项以上。</w:t>
            </w:r>
          </w:p>
        </w:tc>
        <w:tc>
          <w:tcPr>
            <w:tcW w:w="778" w:type="dxa"/>
            <w:vMerge/>
            <w:vAlign w:val="center"/>
          </w:tcPr>
          <w:p>
            <w:pPr>
              <w:jc w:val="center"/>
              <w:rPr>
                <w:rFonts w:ascii="Calibri" w:eastAsia="宋体" w:hAnsi="Calibri" w:cs="宋体" w:hint="default"/>
                <w:b w:val="0"/>
                <w:bCs w:val="0"/>
                <w:color w:val="auto"/>
                <w:sz w:val="21"/>
                <w:szCs w:val="21"/>
                <w:vertAlign w:val="baseline"/>
              </w:rPr>
            </w:pPr>
          </w:p>
        </w:tc>
      </w:tr>
      <w:tr>
        <w:tblPrEx>
          <w:tblW w:w="13967" w:type="dxa"/>
          <w:tblCellMar>
            <w:top w:w="0" w:type="dxa"/>
            <w:left w:w="108" w:type="dxa"/>
            <w:bottom w:w="0" w:type="dxa"/>
            <w:right w:w="108" w:type="dxa"/>
          </w:tblCellMar>
          <w:tblLook w:val="0000"/>
        </w:tblPrEx>
        <w:trPr>
          <w:trHeight w:val="1060"/>
        </w:trPr>
        <w:tc>
          <w:tcPr>
            <w:tcW w:w="1421" w:type="dxa"/>
            <w:vMerge w:val="restart"/>
            <w:vAlign w:val="center"/>
          </w:tcPr>
          <w:p>
            <w:pPr>
              <w:jc w:val="center"/>
              <w:rPr>
                <w:rFonts w:ascii="Calibri" w:eastAsia="宋体" w:hAnsi="Calibri" w:cs="宋体" w:hint="default"/>
                <w:b w:val="0"/>
                <w:bCs w:val="0"/>
                <w:color w:val="auto"/>
                <w:sz w:val="21"/>
                <w:szCs w:val="21"/>
                <w:vertAlign w:val="baseline"/>
              </w:rPr>
            </w:pPr>
            <w:r>
              <w:rPr>
                <w:rFonts w:ascii="Calibri" w:eastAsia="宋体" w:hAnsi="Calibri" w:cs="宋体" w:hint="default"/>
                <w:b w:val="0"/>
                <w:bCs w:val="0"/>
                <w:color w:val="auto"/>
                <w:sz w:val="21"/>
                <w:szCs w:val="21"/>
                <w:vertAlign w:val="baseline"/>
                <w:lang w:eastAsia="zh-CN"/>
              </w:rPr>
              <w:t>人才培养</w:t>
            </w:r>
          </w:p>
        </w:tc>
        <w:tc>
          <w:tcPr>
            <w:tcW w:w="1691" w:type="dxa"/>
            <w:vAlign w:val="center"/>
          </w:tcPr>
          <w:p>
            <w:pPr>
              <w:jc w:val="center"/>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3.1立德树人</w:t>
            </w:r>
          </w:p>
        </w:tc>
        <w:tc>
          <w:tcPr>
            <w:tcW w:w="10077" w:type="dxa"/>
            <w:vAlign w:val="center"/>
          </w:tcPr>
          <w:p>
            <w:pPr>
              <w:numPr>
                <w:ilvl w:val="0"/>
                <w:numId w:val="0"/>
              </w:numPr>
              <w:ind w:leftChars="0"/>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1.重视思想政治和职业道德教育，加强</w:t>
            </w:r>
            <w:r>
              <w:rPr>
                <w:rFonts w:ascii="Calibri" w:eastAsia="宋体" w:hAnsi="Calibri" w:cs="宋体" w:hint="default"/>
                <w:b w:val="0"/>
                <w:bCs w:val="0"/>
                <w:color w:val="auto"/>
                <w:sz w:val="21"/>
                <w:szCs w:val="21"/>
                <w:vertAlign w:val="baseline"/>
                <w:lang w:val="en-US" w:eastAsia="zh-CN"/>
              </w:rPr>
              <w:t>“</w:t>
            </w:r>
            <w:r>
              <w:rPr>
                <w:rFonts w:ascii="Calibri" w:eastAsia="宋体" w:hAnsi="Calibri" w:cs="宋体" w:hint="default"/>
                <w:b w:val="0"/>
                <w:bCs w:val="0"/>
                <w:color w:val="auto"/>
                <w:sz w:val="21"/>
                <w:szCs w:val="21"/>
                <w:vertAlign w:val="baseline"/>
                <w:lang w:val="en-US" w:eastAsia="zh-CN"/>
              </w:rPr>
              <w:t>课程思政</w:t>
            </w:r>
            <w:r>
              <w:rPr>
                <w:rFonts w:ascii="Calibri" w:eastAsia="宋体" w:hAnsi="Calibri" w:cs="宋体" w:hint="default"/>
                <w:b w:val="0"/>
                <w:bCs w:val="0"/>
                <w:color w:val="auto"/>
                <w:sz w:val="21"/>
                <w:szCs w:val="21"/>
                <w:vertAlign w:val="baseline"/>
                <w:lang w:val="en-US" w:eastAsia="zh-CN"/>
              </w:rPr>
              <w:t>”</w:t>
            </w:r>
            <w:r>
              <w:rPr>
                <w:rFonts w:ascii="Calibri" w:eastAsia="宋体" w:hAnsi="Calibri" w:cs="宋体" w:hint="default"/>
                <w:b w:val="0"/>
                <w:bCs w:val="0"/>
                <w:color w:val="auto"/>
                <w:sz w:val="21"/>
                <w:szCs w:val="21"/>
                <w:vertAlign w:val="baseline"/>
                <w:lang w:val="en-US" w:eastAsia="zh-CN"/>
              </w:rPr>
              <w:t>建设，促进各类课程与思想政治理论课同行同向，努力实现职业技能和职业精神培养高度融合。</w:t>
            </w:r>
          </w:p>
          <w:p>
            <w:pPr>
              <w:numPr>
                <w:ilvl w:val="0"/>
                <w:numId w:val="0"/>
              </w:numPr>
              <w:ind w:leftChars="0"/>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2.坚持五育并举，促进学生身心健康、全面发展。</w:t>
            </w:r>
          </w:p>
        </w:tc>
        <w:tc>
          <w:tcPr>
            <w:tcW w:w="778" w:type="dxa"/>
            <w:vMerge w:val="restart"/>
            <w:vAlign w:val="center"/>
          </w:tcPr>
          <w:p>
            <w:pPr>
              <w:jc w:val="center"/>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听汇报，师生座谈，看材料</w:t>
            </w:r>
          </w:p>
        </w:tc>
      </w:tr>
      <w:tr>
        <w:tblPrEx>
          <w:tblW w:w="13967" w:type="dxa"/>
          <w:tblCellMar>
            <w:top w:w="0" w:type="dxa"/>
            <w:left w:w="108" w:type="dxa"/>
            <w:bottom w:w="0" w:type="dxa"/>
            <w:right w:w="108" w:type="dxa"/>
          </w:tblCellMar>
          <w:tblLook w:val="0000"/>
        </w:tblPrEx>
        <w:trPr>
          <w:trHeight w:val="90"/>
        </w:trPr>
        <w:tc>
          <w:tcPr>
            <w:tcW w:w="1421" w:type="dxa"/>
            <w:vMerge/>
            <w:vAlign w:val="center"/>
          </w:tcPr>
          <w:p>
            <w:pPr>
              <w:jc w:val="center"/>
              <w:rPr>
                <w:rFonts w:ascii="Calibri" w:eastAsia="宋体" w:hAnsi="Calibri" w:cs="宋体" w:hint="default"/>
                <w:b w:val="0"/>
                <w:bCs w:val="0"/>
                <w:color w:val="auto"/>
                <w:sz w:val="21"/>
                <w:szCs w:val="21"/>
                <w:vertAlign w:val="baseline"/>
                <w:lang w:eastAsia="zh-CN"/>
              </w:rPr>
            </w:pPr>
          </w:p>
        </w:tc>
        <w:tc>
          <w:tcPr>
            <w:tcW w:w="1691" w:type="dxa"/>
            <w:vAlign w:val="center"/>
          </w:tcPr>
          <w:p>
            <w:pPr>
              <w:jc w:val="center"/>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w:t>
            </w:r>
            <w:r>
              <w:rPr>
                <w:rFonts w:ascii="Calibri" w:eastAsia="宋体" w:hAnsi="Calibri" w:cs="宋体" w:hint="default"/>
                <w:b w:val="0"/>
                <w:bCs w:val="0"/>
                <w:color w:val="auto"/>
                <w:sz w:val="21"/>
                <w:szCs w:val="21"/>
                <w:vertAlign w:val="baseline"/>
                <w:lang w:val="en-US" w:eastAsia="zh-CN"/>
              </w:rPr>
              <w:t>3.2培养模式</w:t>
            </w:r>
          </w:p>
        </w:tc>
        <w:tc>
          <w:tcPr>
            <w:tcW w:w="10077" w:type="dxa"/>
            <w:vAlign w:val="center"/>
          </w:tcPr>
          <w:p>
            <w:pPr>
              <w:numPr>
                <w:ilvl w:val="0"/>
                <w:numId w:val="0"/>
              </w:numPr>
              <w:ind w:leftChars="0"/>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1.坚持产教融合、校企合作的培养模式。</w:t>
            </w:r>
          </w:p>
          <w:p>
            <w:pPr>
              <w:numPr>
                <w:ilvl w:val="0"/>
                <w:numId w:val="0"/>
              </w:numPr>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2.积极探索现代学徒制、产业学院等培养模式，促进学历证书与职业技能等级证书互通衔接。</w:t>
            </w:r>
          </w:p>
        </w:tc>
        <w:tc>
          <w:tcPr>
            <w:tcW w:w="778" w:type="dxa"/>
            <w:vMerge/>
            <w:vAlign w:val="center"/>
          </w:tcPr>
          <w:p>
            <w:pPr>
              <w:jc w:val="center"/>
              <w:rPr>
                <w:rFonts w:ascii="Calibri" w:eastAsia="宋体" w:hAnsi="Calibri" w:cs="宋体" w:hint="default"/>
                <w:b w:val="0"/>
                <w:bCs w:val="0"/>
                <w:color w:val="auto"/>
                <w:sz w:val="21"/>
                <w:szCs w:val="21"/>
                <w:vertAlign w:val="baseline"/>
              </w:rPr>
            </w:pPr>
          </w:p>
        </w:tc>
      </w:tr>
      <w:tr>
        <w:tblPrEx>
          <w:tblW w:w="13967" w:type="dxa"/>
          <w:tblCellMar>
            <w:top w:w="0" w:type="dxa"/>
            <w:left w:w="108" w:type="dxa"/>
            <w:bottom w:w="0" w:type="dxa"/>
            <w:right w:w="108" w:type="dxa"/>
          </w:tblCellMar>
          <w:tblLook w:val="0000"/>
        </w:tblPrEx>
        <w:trPr>
          <w:trHeight w:val="90"/>
        </w:trPr>
        <w:tc>
          <w:tcPr>
            <w:tcW w:w="1421" w:type="dxa"/>
            <w:vMerge/>
            <w:vAlign w:val="center"/>
          </w:tcPr>
          <w:p>
            <w:pPr>
              <w:jc w:val="center"/>
              <w:rPr>
                <w:rFonts w:ascii="Calibri" w:eastAsia="宋体" w:hAnsi="Calibri" w:cs="宋体" w:hint="default"/>
                <w:b w:val="0"/>
                <w:bCs w:val="0"/>
                <w:color w:val="auto"/>
                <w:sz w:val="21"/>
                <w:szCs w:val="21"/>
                <w:vertAlign w:val="baseline"/>
                <w:lang w:eastAsia="zh-CN"/>
              </w:rPr>
            </w:pPr>
          </w:p>
        </w:tc>
        <w:tc>
          <w:tcPr>
            <w:tcW w:w="1691" w:type="dxa"/>
            <w:vAlign w:val="center"/>
          </w:tcPr>
          <w:p>
            <w:pPr>
              <w:jc w:val="center"/>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3.3课程建设</w:t>
            </w:r>
          </w:p>
        </w:tc>
        <w:tc>
          <w:tcPr>
            <w:tcW w:w="10077" w:type="dxa"/>
            <w:vAlign w:val="center"/>
          </w:tcPr>
          <w:p>
            <w:pPr>
              <w:numPr>
                <w:ilvl w:val="0"/>
                <w:numId w:val="0"/>
              </w:numPr>
              <w:ind w:leftChars="0"/>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1.进行职业本科应用型课程改革，建设一流课程和精品共享课程。</w:t>
            </w:r>
          </w:p>
          <w:p>
            <w:pPr>
              <w:numPr>
                <w:ilvl w:val="0"/>
                <w:numId w:val="0"/>
              </w:numPr>
              <w:ind w:leftChars="0"/>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2.提升信息化教学水平，深化课堂革命，开展启发式、参与式、项目化和成果导向教学，应用线上、线下混合教学，促进自主、泛在、个性化学习。</w:t>
            </w:r>
          </w:p>
          <w:p>
            <w:pPr>
              <w:numPr>
                <w:ilvl w:val="0"/>
                <w:numId w:val="0"/>
              </w:numPr>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3.实践教学课程体系设计较科学、合理，实验实训项目（任务）开出率达到100%。</w:t>
            </w:r>
          </w:p>
          <w:p>
            <w:pPr>
              <w:numPr>
                <w:ilvl w:val="0"/>
                <w:numId w:val="0"/>
              </w:numPr>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4.校企合作开发新型活页式、工作手册式教材。</w:t>
            </w:r>
          </w:p>
        </w:tc>
        <w:tc>
          <w:tcPr>
            <w:tcW w:w="778" w:type="dxa"/>
            <w:vMerge/>
            <w:vAlign w:val="center"/>
          </w:tcPr>
          <w:p>
            <w:pPr>
              <w:jc w:val="center"/>
              <w:rPr>
                <w:rFonts w:ascii="Calibri" w:eastAsia="宋体" w:hAnsi="Calibri" w:cs="宋体" w:hint="default"/>
                <w:b w:val="0"/>
                <w:bCs w:val="0"/>
                <w:color w:val="auto"/>
                <w:sz w:val="21"/>
                <w:szCs w:val="21"/>
                <w:vertAlign w:val="baseline"/>
              </w:rPr>
            </w:pPr>
          </w:p>
        </w:tc>
      </w:tr>
      <w:tr>
        <w:tblPrEx>
          <w:tblW w:w="13967" w:type="dxa"/>
          <w:tblCellMar>
            <w:top w:w="0" w:type="dxa"/>
            <w:left w:w="108" w:type="dxa"/>
            <w:bottom w:w="0" w:type="dxa"/>
            <w:right w:w="108" w:type="dxa"/>
          </w:tblCellMar>
          <w:tblLook w:val="0000"/>
        </w:tblPrEx>
        <w:trPr>
          <w:trHeight w:val="3255"/>
        </w:trPr>
        <w:tc>
          <w:tcPr>
            <w:tcW w:w="1421" w:type="dxa"/>
            <w:vMerge/>
            <w:vAlign w:val="center"/>
          </w:tcPr>
          <w:p>
            <w:pPr>
              <w:jc w:val="center"/>
              <w:rPr>
                <w:rFonts w:ascii="Calibri" w:eastAsia="宋体" w:hAnsi="Calibri" w:cs="宋体" w:hint="default"/>
                <w:b w:val="0"/>
                <w:bCs w:val="0"/>
                <w:color w:val="auto"/>
                <w:sz w:val="21"/>
                <w:szCs w:val="21"/>
                <w:vertAlign w:val="baseline"/>
                <w:lang w:eastAsia="zh-CN"/>
              </w:rPr>
            </w:pPr>
          </w:p>
        </w:tc>
        <w:tc>
          <w:tcPr>
            <w:tcW w:w="1691" w:type="dxa"/>
            <w:vAlign w:val="center"/>
          </w:tcPr>
          <w:p>
            <w:pPr>
              <w:jc w:val="center"/>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w:t>
            </w:r>
            <w:r>
              <w:rPr>
                <w:rFonts w:ascii="Calibri" w:eastAsia="宋体" w:hAnsi="Calibri" w:cs="宋体" w:hint="default"/>
                <w:b w:val="0"/>
                <w:bCs w:val="0"/>
                <w:color w:val="auto"/>
                <w:sz w:val="21"/>
                <w:szCs w:val="21"/>
                <w:vertAlign w:val="baseline"/>
                <w:lang w:val="en-US" w:eastAsia="zh-CN"/>
              </w:rPr>
              <w:t>3.4培养质量</w:t>
            </w:r>
          </w:p>
        </w:tc>
        <w:tc>
          <w:tcPr>
            <w:tcW w:w="10077" w:type="dxa"/>
            <w:vAlign w:val="center"/>
          </w:tcPr>
          <w:p>
            <w:pPr>
              <w:numPr>
                <w:ilvl w:val="0"/>
                <w:numId w:val="0"/>
              </w:numPr>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1.学生的技能水平较高，获取X证书或职业技能等级证书获证率不低于50%；</w:t>
            </w:r>
          </w:p>
          <w:p>
            <w:pPr>
              <w:numPr>
                <w:ilvl w:val="0"/>
                <w:numId w:val="0"/>
              </w:numPr>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2.毕业生应完成人才培养方案规定的各项要求，较好地掌握本专业的基础理论、专门知识和基本技能。</w:t>
            </w:r>
          </w:p>
          <w:p>
            <w:pPr>
              <w:numPr>
                <w:ilvl w:val="0"/>
                <w:numId w:val="0"/>
              </w:numPr>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3.具有适应新兴技术和产业发展的可持续发展能力；具有在相关专业领域担负设计、开发、生产、服务等专门技术工作的能力；基本养成工匠精神和精益求精习惯。</w:t>
            </w:r>
          </w:p>
          <w:p>
            <w:pPr>
              <w:numPr>
                <w:ilvl w:val="0"/>
                <w:numId w:val="0"/>
              </w:numPr>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4.毕业设计（论文）研究工作应与专业实践相结合，选题来源于政府、行业、企业及社会委托机构的真实项目，或具有明确的实践应用背景，毕业设计（论文）可采用产品研发、毕业创作、应用研究、工程/项目管理、调研报告等多种形式。</w:t>
            </w:r>
          </w:p>
          <w:p>
            <w:pPr>
              <w:numPr>
                <w:ilvl w:val="0"/>
                <w:numId w:val="0"/>
              </w:numPr>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5.实习单位对学生的综合素质和能力普遍认可；依托专业应届毕业生就业去向落实率不低于本省域内高校平均水平。</w:t>
            </w:r>
          </w:p>
        </w:tc>
        <w:tc>
          <w:tcPr>
            <w:tcW w:w="778" w:type="dxa"/>
            <w:vMerge/>
            <w:vAlign w:val="center"/>
          </w:tcPr>
          <w:p>
            <w:pPr>
              <w:jc w:val="center"/>
              <w:rPr>
                <w:rFonts w:ascii="Calibri" w:eastAsia="宋体" w:hAnsi="Calibri" w:cs="宋体" w:hint="default"/>
                <w:b w:val="0"/>
                <w:bCs w:val="0"/>
                <w:color w:val="auto"/>
                <w:sz w:val="21"/>
                <w:szCs w:val="21"/>
                <w:vertAlign w:val="baseline"/>
              </w:rPr>
            </w:pPr>
          </w:p>
        </w:tc>
      </w:tr>
      <w:tr>
        <w:tblPrEx>
          <w:tblW w:w="13967" w:type="dxa"/>
          <w:tblCellMar>
            <w:top w:w="0" w:type="dxa"/>
            <w:left w:w="108" w:type="dxa"/>
            <w:bottom w:w="0" w:type="dxa"/>
            <w:right w:w="108" w:type="dxa"/>
          </w:tblCellMar>
          <w:tblLook w:val="0000"/>
        </w:tblPrEx>
        <w:trPr>
          <w:trHeight w:val="90"/>
        </w:trPr>
        <w:tc>
          <w:tcPr>
            <w:tcW w:w="1421" w:type="dxa"/>
            <w:vMerge w:val="restart"/>
            <w:vAlign w:val="center"/>
          </w:tcPr>
          <w:p>
            <w:pPr>
              <w:jc w:val="center"/>
              <w:rPr>
                <w:rFonts w:ascii="Calibri" w:eastAsia="宋体" w:hAnsi="Calibri" w:cs="宋体" w:hint="default"/>
                <w:b w:val="0"/>
                <w:bCs w:val="0"/>
                <w:color w:val="auto"/>
                <w:sz w:val="21"/>
                <w:szCs w:val="21"/>
                <w:vertAlign w:val="baseline"/>
                <w:lang w:eastAsia="zh-CN"/>
              </w:rPr>
            </w:pPr>
            <w:r>
              <w:rPr>
                <w:rFonts w:ascii="Calibri" w:eastAsia="宋体" w:hAnsi="Calibri" w:cs="宋体" w:hint="default"/>
                <w:b w:val="0"/>
                <w:bCs w:val="0"/>
                <w:color w:val="auto"/>
                <w:kern w:val="0"/>
                <w:sz w:val="21"/>
                <w:szCs w:val="21"/>
                <w:lang w:val="en-US" w:eastAsia="zh-CN" w:bidi="ar"/>
              </w:rPr>
              <w:t>办学条件</w:t>
            </w:r>
          </w:p>
        </w:tc>
        <w:tc>
          <w:tcPr>
            <w:tcW w:w="1691" w:type="dxa"/>
            <w:vAlign w:val="center"/>
          </w:tcPr>
          <w:p>
            <w:pPr>
              <w:jc w:val="center"/>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4.1办学经费</w:t>
            </w:r>
          </w:p>
        </w:tc>
        <w:tc>
          <w:tcPr>
            <w:tcW w:w="10077" w:type="dxa"/>
            <w:vAlign w:val="center"/>
          </w:tcPr>
          <w:p>
            <w:pPr>
              <w:numPr>
                <w:ilvl w:val="0"/>
                <w:numId w:val="0"/>
              </w:numPr>
              <w:ind w:left="0" w:firstLine="0" w:leftChars="0" w:firstLineChars="0"/>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1.有稳定的、可持续使用的专业建设经费并逐年增长。</w:t>
            </w:r>
          </w:p>
        </w:tc>
        <w:tc>
          <w:tcPr>
            <w:tcW w:w="778" w:type="dxa"/>
            <w:vMerge w:val="restart"/>
            <w:vAlign w:val="center"/>
          </w:tcPr>
          <w:p>
            <w:pPr>
              <w:jc w:val="center"/>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听汇报，实地察看，看材料</w:t>
            </w:r>
          </w:p>
        </w:tc>
      </w:tr>
      <w:tr>
        <w:tblPrEx>
          <w:tblW w:w="13967" w:type="dxa"/>
          <w:tblCellMar>
            <w:top w:w="0" w:type="dxa"/>
            <w:left w:w="108" w:type="dxa"/>
            <w:bottom w:w="0" w:type="dxa"/>
            <w:right w:w="108" w:type="dxa"/>
          </w:tblCellMar>
          <w:tblLook w:val="0000"/>
        </w:tblPrEx>
        <w:trPr>
          <w:trHeight w:val="90"/>
        </w:trPr>
        <w:tc>
          <w:tcPr>
            <w:tcW w:w="1421" w:type="dxa"/>
            <w:vMerge/>
            <w:vAlign w:val="center"/>
          </w:tcPr>
          <w:p>
            <w:pPr>
              <w:jc w:val="center"/>
              <w:rPr>
                <w:rFonts w:ascii="Calibri" w:eastAsia="宋体" w:hAnsi="Calibri" w:cs="宋体" w:hint="default"/>
                <w:b w:val="0"/>
                <w:bCs w:val="0"/>
                <w:color w:val="auto"/>
                <w:sz w:val="21"/>
                <w:szCs w:val="21"/>
                <w:vertAlign w:val="baseline"/>
                <w:lang w:eastAsia="zh-CN"/>
              </w:rPr>
            </w:pPr>
          </w:p>
        </w:tc>
        <w:tc>
          <w:tcPr>
            <w:tcW w:w="1691" w:type="dxa"/>
            <w:vAlign w:val="center"/>
          </w:tcPr>
          <w:p>
            <w:pPr>
              <w:jc w:val="center"/>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4.2实践平台</w:t>
            </w:r>
          </w:p>
        </w:tc>
        <w:tc>
          <w:tcPr>
            <w:tcW w:w="10077" w:type="dxa"/>
            <w:vAlign w:val="center"/>
          </w:tcPr>
          <w:p>
            <w:pPr>
              <w:numPr>
                <w:ilvl w:val="0"/>
                <w:numId w:val="0"/>
              </w:numPr>
              <w:ind w:left="0" w:firstLine="0" w:leftChars="0" w:firstLineChars="0"/>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1.有省级及以上技术研发推广平台（工程研究中心、协同创新中心、重点实验室或技术技能大师工作室、实验实训基地等）。</w:t>
            </w:r>
          </w:p>
        </w:tc>
        <w:tc>
          <w:tcPr>
            <w:tcW w:w="778" w:type="dxa"/>
            <w:vMerge/>
            <w:vAlign w:val="center"/>
          </w:tcPr>
          <w:p>
            <w:pPr>
              <w:jc w:val="center"/>
              <w:rPr>
                <w:rFonts w:ascii="Calibri" w:eastAsia="宋体" w:hAnsi="Calibri" w:cs="宋体" w:hint="default"/>
                <w:b w:val="0"/>
                <w:bCs w:val="0"/>
                <w:color w:val="auto"/>
                <w:sz w:val="21"/>
                <w:szCs w:val="21"/>
                <w:vertAlign w:val="baseline"/>
                <w:lang w:val="en-US" w:eastAsia="zh-CN"/>
              </w:rPr>
            </w:pPr>
          </w:p>
        </w:tc>
      </w:tr>
      <w:tr>
        <w:tblPrEx>
          <w:tblW w:w="13967" w:type="dxa"/>
          <w:tblCellMar>
            <w:top w:w="0" w:type="dxa"/>
            <w:left w:w="108" w:type="dxa"/>
            <w:bottom w:w="0" w:type="dxa"/>
            <w:right w:w="108" w:type="dxa"/>
          </w:tblCellMar>
          <w:tblLook w:val="0000"/>
        </w:tblPrEx>
        <w:trPr>
          <w:trHeight w:val="90"/>
        </w:trPr>
        <w:tc>
          <w:tcPr>
            <w:tcW w:w="1421" w:type="dxa"/>
            <w:vMerge/>
            <w:vAlign w:val="center"/>
          </w:tcPr>
          <w:p>
            <w:pPr>
              <w:jc w:val="center"/>
              <w:rPr>
                <w:rFonts w:ascii="Calibri" w:eastAsia="宋体" w:hAnsi="Calibri" w:cs="宋体" w:hint="default"/>
                <w:b w:val="0"/>
                <w:bCs w:val="0"/>
                <w:color w:val="auto"/>
                <w:sz w:val="21"/>
                <w:szCs w:val="21"/>
                <w:vertAlign w:val="baseline"/>
                <w:lang w:eastAsia="zh-CN"/>
              </w:rPr>
            </w:pPr>
          </w:p>
        </w:tc>
        <w:tc>
          <w:tcPr>
            <w:tcW w:w="1691" w:type="dxa"/>
            <w:vAlign w:val="center"/>
          </w:tcPr>
          <w:p>
            <w:pPr>
              <w:jc w:val="center"/>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w:t>
            </w:r>
            <w:r>
              <w:rPr>
                <w:rFonts w:ascii="Calibri" w:eastAsia="宋体" w:hAnsi="Calibri" w:cs="宋体" w:hint="default"/>
                <w:b w:val="0"/>
                <w:bCs w:val="0"/>
                <w:color w:val="auto"/>
                <w:sz w:val="21"/>
                <w:szCs w:val="21"/>
                <w:vertAlign w:val="baseline"/>
                <w:lang w:val="en-US" w:eastAsia="zh-CN"/>
              </w:rPr>
              <w:t>4.3实习实训场所</w:t>
            </w:r>
          </w:p>
        </w:tc>
        <w:tc>
          <w:tcPr>
            <w:tcW w:w="10077" w:type="dxa"/>
            <w:vAlign w:val="center"/>
          </w:tcPr>
          <w:p>
            <w:pPr>
              <w:numPr>
                <w:ilvl w:val="0"/>
                <w:numId w:val="0"/>
              </w:numPr>
              <w:ind w:left="0" w:firstLine="0" w:leftChars="0" w:firstLineChars="0"/>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1.与相关领域产教融合型企业等优质企业建立稳定合作关系，有稳定的、数量够用的实训基地，满足师生实习实训（培训）需求。</w:t>
            </w:r>
          </w:p>
        </w:tc>
        <w:tc>
          <w:tcPr>
            <w:tcW w:w="778" w:type="dxa"/>
            <w:vMerge/>
            <w:vAlign w:val="center"/>
          </w:tcPr>
          <w:p>
            <w:pPr>
              <w:jc w:val="center"/>
              <w:rPr>
                <w:rFonts w:ascii="Calibri" w:eastAsia="宋体" w:hAnsi="Calibri" w:cs="宋体" w:hint="default"/>
                <w:b w:val="0"/>
                <w:bCs w:val="0"/>
                <w:color w:val="auto"/>
                <w:sz w:val="21"/>
                <w:szCs w:val="21"/>
                <w:vertAlign w:val="baseline"/>
                <w:lang w:val="en-US" w:eastAsia="zh-CN"/>
              </w:rPr>
            </w:pPr>
          </w:p>
        </w:tc>
      </w:tr>
      <w:tr>
        <w:tblPrEx>
          <w:tblW w:w="13967" w:type="dxa"/>
          <w:tblCellMar>
            <w:top w:w="0" w:type="dxa"/>
            <w:left w:w="108" w:type="dxa"/>
            <w:bottom w:w="0" w:type="dxa"/>
            <w:right w:w="108" w:type="dxa"/>
          </w:tblCellMar>
          <w:tblLook w:val="0000"/>
        </w:tblPrEx>
        <w:trPr>
          <w:trHeight w:val="90"/>
        </w:trPr>
        <w:tc>
          <w:tcPr>
            <w:tcW w:w="1421" w:type="dxa"/>
            <w:vMerge w:val="restart"/>
            <w:vAlign w:val="center"/>
          </w:tcPr>
          <w:p>
            <w:pPr>
              <w:jc w:val="center"/>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eastAsia="zh-CN"/>
              </w:rPr>
              <w:t>技</w:t>
            </w:r>
            <w:r>
              <w:rPr>
                <w:rFonts w:ascii="Calibri" w:eastAsia="宋体" w:hAnsi="Calibri" w:cs="宋体" w:hint="default"/>
                <w:b w:val="0"/>
                <w:bCs w:val="0"/>
                <w:color w:val="auto"/>
                <w:kern w:val="0"/>
                <w:sz w:val="21"/>
                <w:szCs w:val="21"/>
                <w:lang w:val="en-US" w:eastAsia="zh-CN" w:bidi="ar"/>
              </w:rPr>
              <w:t>术技能服务与创新</w:t>
            </w:r>
          </w:p>
        </w:tc>
        <w:tc>
          <w:tcPr>
            <w:tcW w:w="1691" w:type="dxa"/>
            <w:vAlign w:val="center"/>
          </w:tcPr>
          <w:p>
            <w:pPr>
              <w:jc w:val="center"/>
              <w:rPr>
                <w:rFonts w:ascii="Calibri" w:eastAsia="宋体" w:hAnsi="Calibri" w:cs="宋体" w:hint="default"/>
                <w:b w:val="0"/>
                <w:bCs w:val="0"/>
                <w:color w:val="auto"/>
                <w:kern w:val="2"/>
                <w:sz w:val="21"/>
                <w:szCs w:val="21"/>
                <w:vertAlign w:val="baseline"/>
                <w:lang w:val="en-US" w:eastAsia="zh-CN" w:bidi="ar-SA"/>
              </w:rPr>
            </w:pPr>
            <w:r>
              <w:rPr>
                <w:rFonts w:ascii="Calibri" w:eastAsia="宋体" w:hAnsi="Calibri" w:cs="宋体" w:hint="default"/>
                <w:b w:val="0"/>
                <w:bCs w:val="0"/>
                <w:color w:val="auto"/>
                <w:sz w:val="21"/>
                <w:szCs w:val="21"/>
                <w:vertAlign w:val="baseline"/>
                <w:lang w:val="en-US" w:eastAsia="zh-CN"/>
              </w:rPr>
              <w:t>5.1纵向课题</w:t>
            </w:r>
          </w:p>
        </w:tc>
        <w:tc>
          <w:tcPr>
            <w:tcW w:w="10077" w:type="dxa"/>
            <w:vAlign w:val="center"/>
          </w:tcPr>
          <w:p>
            <w:pPr>
              <w:numPr>
                <w:ilvl w:val="0"/>
                <w:numId w:val="0"/>
              </w:numPr>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1.近五年累计立项厅级及以上科研课题4项以上；</w:t>
            </w:r>
          </w:p>
          <w:p>
            <w:pPr>
              <w:numPr>
                <w:ilvl w:val="0"/>
                <w:numId w:val="0"/>
              </w:numPr>
              <w:ind w:left="0" w:firstLine="0" w:leftChars="0" w:firstLineChars="0"/>
              <w:jc w:val="left"/>
              <w:rPr>
                <w:rFonts w:ascii="Calibri" w:eastAsia="宋体" w:hAnsi="Calibri" w:cs="宋体" w:hint="default"/>
                <w:b w:val="0"/>
                <w:bCs w:val="0"/>
                <w:color w:val="auto"/>
                <w:kern w:val="2"/>
                <w:sz w:val="21"/>
                <w:szCs w:val="21"/>
                <w:vertAlign w:val="baseline"/>
                <w:lang w:val="en-US" w:eastAsia="zh-CN" w:bidi="ar-SA"/>
              </w:rPr>
            </w:pPr>
            <w:r>
              <w:rPr>
                <w:rFonts w:ascii="Calibri" w:eastAsia="宋体" w:hAnsi="Calibri" w:cs="宋体" w:hint="default"/>
                <w:b w:val="0"/>
                <w:bCs w:val="0"/>
                <w:color w:val="auto"/>
                <w:sz w:val="21"/>
                <w:szCs w:val="21"/>
                <w:vertAlign w:val="baseline"/>
                <w:lang w:val="en-US" w:eastAsia="zh-CN"/>
              </w:rPr>
              <w:t>2.科研教研经费逐年增长。</w:t>
            </w:r>
          </w:p>
        </w:tc>
        <w:tc>
          <w:tcPr>
            <w:tcW w:w="778" w:type="dxa"/>
            <w:vMerge w:val="restart"/>
            <w:vAlign w:val="center"/>
          </w:tcPr>
          <w:p>
            <w:pPr>
              <w:jc w:val="center"/>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听汇报，看材料</w:t>
            </w:r>
          </w:p>
        </w:tc>
      </w:tr>
      <w:tr>
        <w:tblPrEx>
          <w:tblW w:w="13967" w:type="dxa"/>
          <w:tblCellMar>
            <w:top w:w="0" w:type="dxa"/>
            <w:left w:w="108" w:type="dxa"/>
            <w:bottom w:w="0" w:type="dxa"/>
            <w:right w:w="108" w:type="dxa"/>
          </w:tblCellMar>
          <w:tblLook w:val="0000"/>
        </w:tblPrEx>
        <w:trPr>
          <w:trHeight w:val="90"/>
        </w:trPr>
        <w:tc>
          <w:tcPr>
            <w:tcW w:w="1421" w:type="dxa"/>
            <w:vMerge/>
            <w:vAlign w:val="center"/>
          </w:tcPr>
          <w:p>
            <w:pPr>
              <w:jc w:val="center"/>
              <w:rPr>
                <w:rFonts w:ascii="Calibri" w:eastAsia="宋体" w:hAnsi="Calibri" w:cs="宋体" w:hint="default"/>
                <w:b w:val="0"/>
                <w:bCs w:val="0"/>
                <w:color w:val="auto"/>
                <w:sz w:val="21"/>
                <w:szCs w:val="21"/>
                <w:vertAlign w:val="baseline"/>
                <w:lang w:eastAsia="zh-CN"/>
              </w:rPr>
            </w:pPr>
          </w:p>
        </w:tc>
        <w:tc>
          <w:tcPr>
            <w:tcW w:w="1691" w:type="dxa"/>
            <w:vAlign w:val="center"/>
          </w:tcPr>
          <w:p>
            <w:pPr>
              <w:jc w:val="center"/>
              <w:rPr>
                <w:rFonts w:ascii="Calibri" w:eastAsia="宋体" w:hAnsi="Calibri" w:cs="宋体" w:hint="default"/>
                <w:b w:val="0"/>
                <w:bCs w:val="0"/>
                <w:color w:val="auto"/>
                <w:kern w:val="2"/>
                <w:sz w:val="21"/>
                <w:szCs w:val="21"/>
                <w:vertAlign w:val="baseline"/>
                <w:lang w:val="en-US" w:eastAsia="zh-CN" w:bidi="ar-SA"/>
              </w:rPr>
            </w:pPr>
            <w:r>
              <w:rPr>
                <w:rFonts w:ascii="Calibri" w:eastAsia="宋体" w:hAnsi="Calibri" w:cs="宋体" w:hint="default"/>
                <w:b w:val="0"/>
                <w:bCs w:val="0"/>
                <w:color w:val="auto"/>
                <w:sz w:val="21"/>
                <w:szCs w:val="21"/>
                <w:vertAlign w:val="baseline"/>
                <w:lang w:val="en-US" w:eastAsia="zh-CN"/>
              </w:rPr>
              <w:t>5.2科研成果</w:t>
            </w:r>
          </w:p>
        </w:tc>
        <w:tc>
          <w:tcPr>
            <w:tcW w:w="10077" w:type="dxa"/>
            <w:vAlign w:val="center"/>
          </w:tcPr>
          <w:p>
            <w:pPr>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1.具有较好的应用科学研究和技术技能创新基础，</w:t>
            </w:r>
            <w:r>
              <w:rPr>
                <w:rFonts w:ascii="Calibri" w:eastAsia="宋体" w:hAnsi="Calibri" w:cs="宋体" w:hint="default"/>
                <w:b w:val="0"/>
                <w:bCs w:val="0"/>
                <w:color w:val="auto"/>
                <w:sz w:val="21"/>
                <w:szCs w:val="21"/>
                <w:vertAlign w:val="baseline"/>
              </w:rPr>
              <w:t>发表一定数量较高水平论文或出版专著、</w:t>
            </w:r>
            <w:r>
              <w:rPr>
                <w:rFonts w:ascii="Calibri" w:eastAsia="宋体" w:hAnsi="Calibri" w:cs="宋体" w:hint="default"/>
                <w:b w:val="0"/>
                <w:bCs w:val="0"/>
                <w:color w:val="auto"/>
                <w:sz w:val="21"/>
                <w:szCs w:val="21"/>
                <w:vertAlign w:val="baseline"/>
                <w:lang w:val="en-US" w:eastAsia="zh-CN"/>
              </w:rPr>
              <w:t>地方经济社会发展的咨询报告，获批专利等。</w:t>
            </w:r>
          </w:p>
          <w:p>
            <w:pPr>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2.有一定数量的科研获奖。</w:t>
            </w:r>
          </w:p>
        </w:tc>
        <w:tc>
          <w:tcPr>
            <w:tcW w:w="778" w:type="dxa"/>
            <w:vMerge/>
            <w:vAlign w:val="center"/>
          </w:tcPr>
          <w:p>
            <w:pPr>
              <w:jc w:val="center"/>
              <w:rPr>
                <w:rFonts w:ascii="Calibri" w:eastAsia="宋体" w:hAnsi="Calibri" w:cs="宋体" w:hint="default"/>
                <w:b w:val="0"/>
                <w:bCs w:val="0"/>
                <w:color w:val="auto"/>
                <w:sz w:val="21"/>
                <w:szCs w:val="21"/>
                <w:vertAlign w:val="baseline"/>
              </w:rPr>
            </w:pPr>
          </w:p>
        </w:tc>
      </w:tr>
      <w:tr>
        <w:tblPrEx>
          <w:tblW w:w="13967" w:type="dxa"/>
          <w:tblCellMar>
            <w:top w:w="0" w:type="dxa"/>
            <w:left w:w="108" w:type="dxa"/>
            <w:bottom w:w="0" w:type="dxa"/>
            <w:right w:w="108" w:type="dxa"/>
          </w:tblCellMar>
          <w:tblLook w:val="0000"/>
        </w:tblPrEx>
        <w:trPr>
          <w:trHeight w:val="90"/>
        </w:trPr>
        <w:tc>
          <w:tcPr>
            <w:tcW w:w="1421" w:type="dxa"/>
            <w:vMerge/>
            <w:vAlign w:val="center"/>
          </w:tcPr>
          <w:p>
            <w:pPr>
              <w:jc w:val="center"/>
              <w:rPr>
                <w:rFonts w:ascii="Calibri" w:eastAsia="宋体" w:hAnsi="Calibri" w:cs="宋体" w:hint="default"/>
                <w:b w:val="0"/>
                <w:bCs w:val="0"/>
                <w:color w:val="auto"/>
                <w:sz w:val="21"/>
                <w:szCs w:val="21"/>
                <w:vertAlign w:val="baseline"/>
                <w:lang w:eastAsia="zh-CN"/>
              </w:rPr>
            </w:pPr>
          </w:p>
        </w:tc>
        <w:tc>
          <w:tcPr>
            <w:tcW w:w="1691" w:type="dxa"/>
            <w:vAlign w:val="center"/>
          </w:tcPr>
          <w:p>
            <w:pPr>
              <w:jc w:val="center"/>
              <w:rPr>
                <w:rFonts w:ascii="Calibri" w:eastAsia="宋体" w:hAnsi="Calibri" w:cs="宋体" w:hint="default"/>
                <w:b w:val="0"/>
                <w:bCs w:val="0"/>
                <w:color w:val="auto"/>
                <w:kern w:val="2"/>
                <w:sz w:val="21"/>
                <w:szCs w:val="21"/>
                <w:vertAlign w:val="baseline"/>
                <w:lang w:val="en-US" w:eastAsia="zh-CN" w:bidi="ar-SA"/>
              </w:rPr>
            </w:pPr>
            <w:r>
              <w:rPr>
                <w:rFonts w:ascii="Calibri" w:eastAsia="宋体" w:hAnsi="Calibri" w:cs="宋体" w:hint="default"/>
                <w:b w:val="0"/>
                <w:bCs w:val="0"/>
                <w:color w:val="auto"/>
                <w:sz w:val="21"/>
                <w:szCs w:val="21"/>
                <w:vertAlign w:val="baseline"/>
                <w:lang w:val="en-US" w:eastAsia="zh-CN"/>
              </w:rPr>
              <w:t>★</w:t>
            </w:r>
            <w:r>
              <w:rPr>
                <w:rFonts w:ascii="Calibri" w:eastAsia="宋体" w:hAnsi="Calibri" w:cs="宋体" w:hint="default"/>
                <w:b w:val="0"/>
                <w:bCs w:val="0"/>
                <w:color w:val="auto"/>
                <w:sz w:val="21"/>
                <w:szCs w:val="21"/>
                <w:vertAlign w:val="baseline"/>
                <w:lang w:val="en-US" w:eastAsia="zh-CN"/>
              </w:rPr>
              <w:t>5.3横向课题与社会服务</w:t>
            </w:r>
          </w:p>
        </w:tc>
        <w:tc>
          <w:tcPr>
            <w:tcW w:w="10077" w:type="dxa"/>
            <w:vAlign w:val="center"/>
          </w:tcPr>
          <w:p>
            <w:pPr>
              <w:numPr>
                <w:ilvl w:val="0"/>
                <w:numId w:val="0"/>
              </w:numPr>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1.能够面向区域、行业企业开展科研、技术研发、社会服务等项目，产生一定经济社会效益；</w:t>
            </w:r>
          </w:p>
          <w:p>
            <w:pPr>
              <w:numPr>
                <w:ilvl w:val="0"/>
                <w:numId w:val="0"/>
              </w:numPr>
              <w:ind w:left="0" w:firstLine="0" w:leftChars="0" w:firstLineChars="0"/>
              <w:jc w:val="left"/>
              <w:rPr>
                <w:rFonts w:ascii="Calibri" w:eastAsia="宋体" w:hAnsi="Calibri" w:cs="宋体" w:hint="default"/>
                <w:b w:val="0"/>
                <w:bCs w:val="0"/>
                <w:color w:val="auto"/>
                <w:kern w:val="2"/>
                <w:sz w:val="21"/>
                <w:szCs w:val="21"/>
                <w:vertAlign w:val="baseline"/>
                <w:lang w:val="en-US" w:eastAsia="zh-CN" w:bidi="ar-SA"/>
              </w:rPr>
            </w:pPr>
            <w:r>
              <w:rPr>
                <w:rFonts w:ascii="Calibri" w:eastAsia="宋体" w:hAnsi="Calibri" w:cs="宋体" w:hint="default"/>
                <w:b w:val="0"/>
                <w:bCs w:val="0"/>
                <w:color w:val="auto"/>
                <w:sz w:val="21"/>
                <w:szCs w:val="21"/>
                <w:vertAlign w:val="baseline"/>
                <w:lang w:val="en-US" w:eastAsia="zh-CN"/>
              </w:rPr>
              <w:t>2.学历教育与职业培训相结合，近3年专业面向行业企业和社会开展职业培训人次每年不少于本专业在校生人数的2倍。</w:t>
            </w:r>
          </w:p>
        </w:tc>
        <w:tc>
          <w:tcPr>
            <w:tcW w:w="778" w:type="dxa"/>
            <w:vMerge/>
            <w:vAlign w:val="center"/>
          </w:tcPr>
          <w:p>
            <w:pPr>
              <w:jc w:val="center"/>
              <w:rPr>
                <w:rFonts w:ascii="Calibri" w:eastAsia="宋体" w:hAnsi="Calibri" w:cs="宋体" w:hint="default"/>
                <w:b w:val="0"/>
                <w:bCs w:val="0"/>
                <w:color w:val="auto"/>
                <w:sz w:val="21"/>
                <w:szCs w:val="21"/>
                <w:vertAlign w:val="baseline"/>
              </w:rPr>
            </w:pPr>
          </w:p>
        </w:tc>
      </w:tr>
      <w:tr>
        <w:tblPrEx>
          <w:tblW w:w="13967" w:type="dxa"/>
          <w:tblCellMar>
            <w:top w:w="0" w:type="dxa"/>
            <w:left w:w="108" w:type="dxa"/>
            <w:bottom w:w="0" w:type="dxa"/>
            <w:right w:w="108" w:type="dxa"/>
          </w:tblCellMar>
          <w:tblLook w:val="0000"/>
        </w:tblPrEx>
        <w:trPr>
          <w:trHeight w:val="90"/>
        </w:trPr>
        <w:tc>
          <w:tcPr>
            <w:tcW w:w="1421" w:type="dxa"/>
            <w:vMerge w:val="restart"/>
            <w:vAlign w:val="center"/>
          </w:tcPr>
          <w:p>
            <w:pPr>
              <w:jc w:val="center"/>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管理制度</w:t>
            </w:r>
          </w:p>
        </w:tc>
        <w:tc>
          <w:tcPr>
            <w:tcW w:w="1691" w:type="dxa"/>
            <w:vAlign w:val="center"/>
          </w:tcPr>
          <w:p>
            <w:pPr>
              <w:jc w:val="center"/>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6.1制度建设</w:t>
            </w:r>
          </w:p>
        </w:tc>
        <w:tc>
          <w:tcPr>
            <w:tcW w:w="10077" w:type="dxa"/>
            <w:vAlign w:val="center"/>
          </w:tcPr>
          <w:p>
            <w:pPr>
              <w:numPr>
                <w:ilvl w:val="0"/>
                <w:numId w:val="0"/>
              </w:numPr>
              <w:ind w:leftChars="0"/>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1.有保障开设本专业可持续发展的规划和相关制度等；</w:t>
            </w:r>
          </w:p>
          <w:p>
            <w:pPr>
              <w:numPr>
                <w:ilvl w:val="0"/>
                <w:numId w:val="0"/>
              </w:numPr>
              <w:ind w:leftChars="0"/>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2.有本科毕业生论文（设计）管理制度；</w:t>
            </w:r>
          </w:p>
          <w:p>
            <w:pPr>
              <w:numPr>
                <w:ilvl w:val="0"/>
                <w:numId w:val="0"/>
              </w:numPr>
              <w:ind w:leftChars="0"/>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3.有完善的本科生资助体系。</w:t>
            </w:r>
          </w:p>
        </w:tc>
        <w:tc>
          <w:tcPr>
            <w:tcW w:w="778" w:type="dxa"/>
            <w:vMerge w:val="restart"/>
            <w:vAlign w:val="center"/>
          </w:tcPr>
          <w:p>
            <w:pPr>
              <w:jc w:val="center"/>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听汇报，看材料</w:t>
            </w:r>
          </w:p>
        </w:tc>
      </w:tr>
      <w:tr>
        <w:tblPrEx>
          <w:tblW w:w="13967" w:type="dxa"/>
          <w:tblCellMar>
            <w:top w:w="0" w:type="dxa"/>
            <w:left w:w="108" w:type="dxa"/>
            <w:bottom w:w="0" w:type="dxa"/>
            <w:right w:w="108" w:type="dxa"/>
          </w:tblCellMar>
          <w:tblLook w:val="0000"/>
        </w:tblPrEx>
        <w:trPr>
          <w:trHeight w:val="90"/>
        </w:trPr>
        <w:tc>
          <w:tcPr>
            <w:tcW w:w="1421" w:type="dxa"/>
            <w:vMerge/>
            <w:vAlign w:val="center"/>
          </w:tcPr>
          <w:p>
            <w:pPr>
              <w:jc w:val="center"/>
              <w:rPr>
                <w:rFonts w:ascii="Calibri" w:eastAsia="宋体" w:hAnsi="Calibri" w:cs="宋体" w:hint="default"/>
                <w:b w:val="0"/>
                <w:bCs w:val="0"/>
                <w:color w:val="auto"/>
                <w:sz w:val="21"/>
                <w:szCs w:val="21"/>
                <w:vertAlign w:val="baseline"/>
                <w:lang w:eastAsia="zh-CN"/>
              </w:rPr>
            </w:pPr>
          </w:p>
        </w:tc>
        <w:tc>
          <w:tcPr>
            <w:tcW w:w="1691" w:type="dxa"/>
            <w:vAlign w:val="center"/>
          </w:tcPr>
          <w:p>
            <w:pPr>
              <w:jc w:val="center"/>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w:t>
            </w:r>
            <w:r>
              <w:rPr>
                <w:rFonts w:ascii="Calibri" w:eastAsia="宋体" w:hAnsi="Calibri" w:cs="宋体" w:hint="default"/>
                <w:b w:val="0"/>
                <w:bCs w:val="0"/>
                <w:color w:val="auto"/>
                <w:sz w:val="21"/>
                <w:szCs w:val="21"/>
                <w:vertAlign w:val="baseline"/>
                <w:lang w:val="en-US" w:eastAsia="zh-CN"/>
              </w:rPr>
              <w:t>6.2质量保障</w:t>
            </w:r>
          </w:p>
        </w:tc>
        <w:tc>
          <w:tcPr>
            <w:tcW w:w="10077" w:type="dxa"/>
            <w:vAlign w:val="center"/>
          </w:tcPr>
          <w:p>
            <w:pPr>
              <w:numPr>
                <w:ilvl w:val="0"/>
                <w:numId w:val="0"/>
              </w:numPr>
              <w:ind w:leftChars="0"/>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1.开展新设专业自评及年度检查；</w:t>
            </w:r>
          </w:p>
          <w:p>
            <w:pPr>
              <w:numPr>
                <w:ilvl w:val="0"/>
                <w:numId w:val="0"/>
              </w:numPr>
              <w:ind w:leftChars="0"/>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2.建立专业教学质量监控和学生发展跟踪与反馈以及教学质量持续改进等机制；</w:t>
            </w:r>
          </w:p>
          <w:p>
            <w:pPr>
              <w:numPr>
                <w:ilvl w:val="0"/>
                <w:numId w:val="0"/>
              </w:numPr>
              <w:ind w:leftChars="0"/>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3.开展本科毕业生论文查重和抽检。</w:t>
            </w:r>
          </w:p>
        </w:tc>
        <w:tc>
          <w:tcPr>
            <w:tcW w:w="778" w:type="dxa"/>
            <w:vMerge/>
            <w:vAlign w:val="center"/>
          </w:tcPr>
          <w:p>
            <w:pPr>
              <w:jc w:val="center"/>
              <w:rPr>
                <w:rFonts w:ascii="Calibri" w:eastAsia="宋体" w:hAnsi="Calibri" w:cs="宋体" w:hint="default"/>
                <w:b w:val="0"/>
                <w:bCs w:val="0"/>
                <w:color w:val="auto"/>
                <w:sz w:val="21"/>
                <w:szCs w:val="21"/>
                <w:vertAlign w:val="baseline"/>
              </w:rPr>
            </w:pPr>
          </w:p>
        </w:tc>
      </w:tr>
      <w:tr>
        <w:tblPrEx>
          <w:tblW w:w="13967" w:type="dxa"/>
          <w:tblCellMar>
            <w:top w:w="0" w:type="dxa"/>
            <w:left w:w="108" w:type="dxa"/>
            <w:bottom w:w="0" w:type="dxa"/>
            <w:right w:w="108" w:type="dxa"/>
          </w:tblCellMar>
          <w:tblLook w:val="0000"/>
        </w:tblPrEx>
        <w:trPr>
          <w:trHeight w:val="451"/>
        </w:trPr>
        <w:tc>
          <w:tcPr>
            <w:tcW w:w="13967" w:type="dxa"/>
            <w:gridSpan w:val="4"/>
            <w:vAlign w:val="center"/>
          </w:tcPr>
          <w:p>
            <w:pPr>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说明：</w:t>
            </w:r>
          </w:p>
          <w:p>
            <w:pPr>
              <w:numPr>
                <w:ilvl w:val="0"/>
                <w:numId w:val="0"/>
              </w:numPr>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1.本指标体系共有6项一级指标、19项二级指标，对每项二级指标按</w:t>
            </w:r>
            <w:r>
              <w:rPr>
                <w:rFonts w:ascii="Calibri" w:eastAsia="宋体" w:hAnsi="Calibri" w:cs="宋体" w:hint="default"/>
                <w:b w:val="0"/>
                <w:bCs w:val="0"/>
                <w:color w:val="auto"/>
                <w:sz w:val="21"/>
                <w:szCs w:val="21"/>
                <w:vertAlign w:val="baseline"/>
                <w:lang w:val="en-US" w:eastAsia="zh-CN"/>
              </w:rPr>
              <w:t>“</w:t>
            </w:r>
            <w:r>
              <w:rPr>
                <w:rFonts w:ascii="Calibri" w:eastAsia="宋体" w:hAnsi="Calibri" w:cs="宋体" w:hint="default"/>
                <w:b w:val="0"/>
                <w:bCs w:val="0"/>
                <w:color w:val="auto"/>
                <w:sz w:val="21"/>
                <w:szCs w:val="21"/>
                <w:vertAlign w:val="baseline"/>
                <w:lang w:val="en-US" w:eastAsia="zh-CN"/>
              </w:rPr>
              <w:t>合格</w:t>
            </w:r>
            <w:r>
              <w:rPr>
                <w:rFonts w:ascii="Calibri" w:eastAsia="宋体" w:hAnsi="Calibri" w:cs="宋体" w:hint="default"/>
                <w:b w:val="0"/>
                <w:bCs w:val="0"/>
                <w:color w:val="auto"/>
                <w:sz w:val="21"/>
                <w:szCs w:val="21"/>
                <w:vertAlign w:val="baseline"/>
                <w:lang w:val="en-US" w:eastAsia="zh-CN"/>
              </w:rPr>
              <w:t>”</w:t>
            </w:r>
            <w:r>
              <w:rPr>
                <w:rFonts w:ascii="Calibri" w:eastAsia="宋体" w:hAnsi="Calibri" w:cs="宋体" w:hint="default"/>
                <w:b w:val="0"/>
                <w:bCs w:val="0"/>
                <w:color w:val="auto"/>
                <w:sz w:val="21"/>
                <w:szCs w:val="21"/>
                <w:vertAlign w:val="baseline"/>
                <w:lang w:val="en-US" w:eastAsia="zh-CN"/>
              </w:rPr>
              <w:t>或</w:t>
            </w:r>
            <w:r>
              <w:rPr>
                <w:rFonts w:ascii="Calibri" w:eastAsia="宋体" w:hAnsi="Calibri" w:cs="宋体" w:hint="default"/>
                <w:b w:val="0"/>
                <w:bCs w:val="0"/>
                <w:color w:val="auto"/>
                <w:sz w:val="21"/>
                <w:szCs w:val="21"/>
                <w:vertAlign w:val="baseline"/>
                <w:lang w:val="en-US" w:eastAsia="zh-CN"/>
              </w:rPr>
              <w:t>“</w:t>
            </w:r>
            <w:r>
              <w:rPr>
                <w:rFonts w:ascii="Calibri" w:eastAsia="宋体" w:hAnsi="Calibri" w:cs="宋体" w:hint="default"/>
                <w:b w:val="0"/>
                <w:bCs w:val="0"/>
                <w:color w:val="auto"/>
                <w:sz w:val="21"/>
                <w:szCs w:val="21"/>
                <w:vertAlign w:val="baseline"/>
                <w:lang w:val="en-US" w:eastAsia="zh-CN"/>
              </w:rPr>
              <w:t>不合格</w:t>
            </w:r>
            <w:r>
              <w:rPr>
                <w:rFonts w:ascii="Calibri" w:eastAsia="宋体" w:hAnsi="Calibri" w:cs="宋体" w:hint="default"/>
                <w:b w:val="0"/>
                <w:bCs w:val="0"/>
                <w:color w:val="auto"/>
                <w:sz w:val="21"/>
                <w:szCs w:val="21"/>
                <w:vertAlign w:val="baseline"/>
                <w:lang w:val="en-US" w:eastAsia="zh-CN"/>
              </w:rPr>
              <w:t>”</w:t>
            </w:r>
            <w:r>
              <w:rPr>
                <w:rFonts w:ascii="Calibri" w:eastAsia="宋体" w:hAnsi="Calibri" w:cs="宋体" w:hint="default"/>
                <w:b w:val="0"/>
                <w:bCs w:val="0"/>
                <w:color w:val="auto"/>
                <w:sz w:val="21"/>
                <w:szCs w:val="21"/>
                <w:vertAlign w:val="baseline"/>
                <w:lang w:val="en-US" w:eastAsia="zh-CN"/>
              </w:rPr>
              <w:t>两级评定。</w:t>
            </w:r>
          </w:p>
          <w:p>
            <w:pPr>
              <w:numPr>
                <w:ilvl w:val="0"/>
                <w:numId w:val="0"/>
              </w:numPr>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2.注有</w:t>
            </w:r>
            <w:r>
              <w:rPr>
                <w:rFonts w:ascii="Calibri" w:eastAsia="宋体" w:hAnsi="Calibri" w:cs="宋体" w:hint="default"/>
                <w:b w:val="0"/>
                <w:bCs w:val="0"/>
                <w:color w:val="auto"/>
                <w:sz w:val="21"/>
                <w:szCs w:val="21"/>
                <w:vertAlign w:val="baseline"/>
                <w:lang w:val="en-US" w:eastAsia="zh-CN"/>
              </w:rPr>
              <w:t>“★”</w:t>
            </w:r>
            <w:r>
              <w:rPr>
                <w:rFonts w:ascii="Calibri" w:eastAsia="宋体" w:hAnsi="Calibri" w:cs="宋体" w:hint="default"/>
                <w:b w:val="0"/>
                <w:bCs w:val="0"/>
                <w:color w:val="auto"/>
                <w:sz w:val="21"/>
                <w:szCs w:val="21"/>
                <w:vertAlign w:val="baseline"/>
                <w:lang w:val="en-US" w:eastAsia="zh-CN"/>
              </w:rPr>
              <w:t>号的为关键指标，本指标体系共有8项关键指标。</w:t>
            </w:r>
          </w:p>
          <w:p>
            <w:pPr>
              <w:numPr>
                <w:ilvl w:val="0"/>
                <w:numId w:val="0"/>
              </w:numPr>
              <w:jc w:val="left"/>
              <w:rPr>
                <w:rFonts w:ascii="Calibri" w:eastAsia="宋体" w:hAnsi="Calibri" w:cs="宋体" w:hint="default"/>
                <w:b w:val="0"/>
                <w:bCs w:val="0"/>
                <w:color w:val="auto"/>
                <w:sz w:val="21"/>
                <w:szCs w:val="21"/>
                <w:vertAlign w:val="baseline"/>
                <w:lang w:val="en-US" w:eastAsia="zh-CN"/>
              </w:rPr>
            </w:pPr>
            <w:r>
              <w:rPr>
                <w:rFonts w:ascii="Calibri" w:eastAsia="宋体" w:hAnsi="Calibri" w:cs="宋体" w:hint="default"/>
                <w:b w:val="0"/>
                <w:bCs w:val="0"/>
                <w:color w:val="auto"/>
                <w:sz w:val="21"/>
                <w:szCs w:val="21"/>
                <w:vertAlign w:val="baseline"/>
                <w:lang w:val="en-US" w:eastAsia="zh-CN"/>
              </w:rPr>
              <w:t>3.专家根据有关规定对受评学校按本指标体系逐一进行考察评审，对19项二级指标做出</w:t>
            </w:r>
            <w:r>
              <w:rPr>
                <w:rFonts w:ascii="Calibri" w:eastAsia="宋体" w:hAnsi="Calibri" w:cs="宋体" w:hint="default"/>
                <w:b w:val="0"/>
                <w:bCs w:val="0"/>
                <w:color w:val="auto"/>
                <w:sz w:val="21"/>
                <w:szCs w:val="21"/>
                <w:vertAlign w:val="baseline"/>
                <w:lang w:val="en-US" w:eastAsia="zh-CN"/>
              </w:rPr>
              <w:t>“</w:t>
            </w:r>
            <w:r>
              <w:rPr>
                <w:rFonts w:ascii="Calibri" w:eastAsia="宋体" w:hAnsi="Calibri" w:cs="宋体" w:hint="default"/>
                <w:b w:val="0"/>
                <w:bCs w:val="0"/>
                <w:color w:val="auto"/>
                <w:sz w:val="21"/>
                <w:szCs w:val="21"/>
                <w:vertAlign w:val="baseline"/>
                <w:lang w:val="en-US" w:eastAsia="zh-CN"/>
              </w:rPr>
              <w:t>合格</w:t>
            </w:r>
            <w:r>
              <w:rPr>
                <w:rFonts w:ascii="Calibri" w:eastAsia="宋体" w:hAnsi="Calibri" w:cs="宋体" w:hint="default"/>
                <w:b w:val="0"/>
                <w:bCs w:val="0"/>
                <w:color w:val="auto"/>
                <w:sz w:val="21"/>
                <w:szCs w:val="21"/>
                <w:vertAlign w:val="baseline"/>
                <w:lang w:val="en-US" w:eastAsia="zh-CN"/>
              </w:rPr>
              <w:t>”</w:t>
            </w:r>
            <w:r>
              <w:rPr>
                <w:rFonts w:ascii="Calibri" w:eastAsia="宋体" w:hAnsi="Calibri" w:cs="宋体" w:hint="default"/>
                <w:b w:val="0"/>
                <w:bCs w:val="0"/>
                <w:color w:val="auto"/>
                <w:sz w:val="21"/>
                <w:szCs w:val="21"/>
                <w:vertAlign w:val="baseline"/>
                <w:lang w:val="en-US" w:eastAsia="zh-CN"/>
              </w:rPr>
              <w:t>或</w:t>
            </w:r>
            <w:r>
              <w:rPr>
                <w:rFonts w:ascii="Calibri" w:eastAsia="宋体" w:hAnsi="Calibri" w:cs="宋体" w:hint="default"/>
                <w:b w:val="0"/>
                <w:bCs w:val="0"/>
                <w:color w:val="auto"/>
                <w:sz w:val="21"/>
                <w:szCs w:val="21"/>
                <w:vertAlign w:val="baseline"/>
                <w:lang w:val="en-US" w:eastAsia="zh-CN"/>
              </w:rPr>
              <w:t>“</w:t>
            </w:r>
            <w:r>
              <w:rPr>
                <w:rFonts w:ascii="Calibri" w:eastAsia="宋体" w:hAnsi="Calibri" w:cs="宋体" w:hint="default"/>
                <w:b w:val="0"/>
                <w:bCs w:val="0"/>
                <w:color w:val="auto"/>
                <w:sz w:val="21"/>
                <w:szCs w:val="21"/>
                <w:vertAlign w:val="baseline"/>
                <w:lang w:val="en-US" w:eastAsia="zh-CN"/>
              </w:rPr>
              <w:t>不合格</w:t>
            </w:r>
            <w:r>
              <w:rPr>
                <w:rFonts w:ascii="Calibri" w:eastAsia="宋体" w:hAnsi="Calibri" w:cs="宋体" w:hint="default"/>
                <w:b w:val="0"/>
                <w:bCs w:val="0"/>
                <w:color w:val="auto"/>
                <w:sz w:val="21"/>
                <w:szCs w:val="21"/>
                <w:vertAlign w:val="baseline"/>
                <w:lang w:val="en-US" w:eastAsia="zh-CN"/>
              </w:rPr>
              <w:t>”</w:t>
            </w:r>
            <w:r>
              <w:rPr>
                <w:rFonts w:ascii="Calibri" w:eastAsia="宋体" w:hAnsi="Calibri" w:cs="宋体" w:hint="default"/>
                <w:b w:val="0"/>
                <w:bCs w:val="0"/>
                <w:color w:val="auto"/>
                <w:sz w:val="21"/>
                <w:szCs w:val="21"/>
                <w:vertAlign w:val="baseline"/>
                <w:lang w:val="en-US" w:eastAsia="zh-CN"/>
              </w:rPr>
              <w:t>评定；19项二级指标中，不合格指标数</w:t>
            </w:r>
            <w:r>
              <w:rPr>
                <w:rFonts w:ascii="Calibri" w:eastAsia="宋体" w:hAnsi="Calibri" w:cs="宋体" w:hint="default"/>
                <w:b w:val="0"/>
                <w:bCs w:val="0"/>
                <w:color w:val="auto"/>
                <w:sz w:val="21"/>
                <w:szCs w:val="21"/>
                <w:vertAlign w:val="baseline"/>
                <w:lang w:val="en-US" w:eastAsia="zh-CN"/>
              </w:rPr>
              <w:t>≤</w:t>
            </w:r>
            <w:r>
              <w:rPr>
                <w:rFonts w:ascii="Calibri" w:eastAsia="宋体" w:hAnsi="Calibri" w:cs="宋体" w:hint="default"/>
                <w:b w:val="0"/>
                <w:bCs w:val="0"/>
                <w:color w:val="auto"/>
                <w:sz w:val="21"/>
                <w:szCs w:val="21"/>
                <w:vertAlign w:val="baseline"/>
                <w:lang w:val="en-US" w:eastAsia="zh-CN"/>
              </w:rPr>
              <w:t>4项（其中重点指标</w:t>
            </w:r>
            <w:r>
              <w:rPr>
                <w:rFonts w:ascii="Calibri" w:eastAsia="宋体" w:hAnsi="Calibri" w:cs="宋体" w:hint="default"/>
                <w:b w:val="0"/>
                <w:bCs w:val="0"/>
                <w:color w:val="auto"/>
                <w:sz w:val="21"/>
                <w:szCs w:val="21"/>
                <w:vertAlign w:val="baseline"/>
                <w:lang w:val="en-US" w:eastAsia="zh-CN"/>
              </w:rPr>
              <w:t>≤</w:t>
            </w:r>
            <w:r>
              <w:rPr>
                <w:rFonts w:ascii="Calibri" w:eastAsia="宋体" w:hAnsi="Calibri" w:cs="宋体" w:hint="default"/>
                <w:b w:val="0"/>
                <w:bCs w:val="0"/>
                <w:color w:val="auto"/>
                <w:sz w:val="21"/>
                <w:szCs w:val="21"/>
                <w:vertAlign w:val="baseline"/>
                <w:lang w:val="en-US" w:eastAsia="zh-CN"/>
              </w:rPr>
              <w:t>2项），总体评价合格，否则为不合格。</w:t>
            </w:r>
          </w:p>
          <w:p>
            <w:pPr>
              <w:numPr>
                <w:ilvl w:val="0"/>
                <w:numId w:val="0"/>
              </w:numPr>
              <w:jc w:val="left"/>
              <w:rPr>
                <w:rFonts w:ascii="Calibri" w:eastAsia="宋体" w:hAnsi="Calibri" w:cs="宋体" w:hint="default"/>
                <w:b w:val="0"/>
                <w:bCs w:val="0"/>
                <w:color w:val="auto"/>
                <w:sz w:val="21"/>
                <w:szCs w:val="21"/>
                <w:vertAlign w:val="baseline"/>
              </w:rPr>
            </w:pPr>
            <w:r>
              <w:rPr>
                <w:rFonts w:ascii="Calibri" w:eastAsia="宋体" w:hAnsi="Calibri" w:cs="宋体" w:hint="default"/>
                <w:b w:val="0"/>
                <w:bCs w:val="0"/>
                <w:color w:val="auto"/>
                <w:sz w:val="21"/>
                <w:szCs w:val="21"/>
                <w:vertAlign w:val="baseline"/>
                <w:lang w:val="en-US" w:eastAsia="zh-CN"/>
              </w:rPr>
              <w:t>4.每项指标评价结果由专家组集中评议确定。</w:t>
            </w:r>
          </w:p>
        </w:tc>
      </w:tr>
    </w:tbl>
    <w:p>
      <w:pPr>
        <w:jc w:val="left"/>
        <w:rPr>
          <w:rFonts w:ascii="Calibri" w:eastAsia="宋体" w:hAnsi="Calibri" w:cs="宋体" w:hint="default"/>
          <w:b w:val="0"/>
          <w:bCs w:val="0"/>
          <w:color w:val="auto"/>
          <w:sz w:val="21"/>
          <w:szCs w:val="21"/>
          <w:lang w:val="en-US" w:eastAsia="zh-CN"/>
        </w:rPr>
      </w:pPr>
      <w:r>
        <w:rPr>
          <w:rFonts w:ascii="Calibri" w:eastAsia="宋体" w:hAnsi="Calibri" w:cs="宋体" w:hint="default"/>
          <w:b w:val="0"/>
          <w:bCs w:val="0"/>
          <w:color w:val="auto"/>
          <w:sz w:val="21"/>
          <w:szCs w:val="21"/>
          <w:lang w:val="en-US" w:eastAsia="zh-CN"/>
        </w:rPr>
        <w:t>备注：</w:t>
      </w:r>
    </w:p>
    <w:p>
      <w:pPr>
        <w:ind w:firstLine="420" w:firstLineChars="200"/>
        <w:jc w:val="left"/>
        <w:rPr>
          <w:rFonts w:ascii="Calibri" w:eastAsia="宋体" w:hAnsi="Calibri" w:cs="宋体" w:hint="default"/>
          <w:b w:val="0"/>
          <w:bCs w:val="0"/>
          <w:color w:val="auto"/>
          <w:sz w:val="21"/>
          <w:szCs w:val="21"/>
          <w:lang w:val="en-US" w:eastAsia="zh-CN"/>
        </w:rPr>
      </w:pPr>
      <w:r>
        <w:rPr>
          <w:rFonts w:ascii="Calibri" w:eastAsia="宋体" w:hAnsi="Calibri" w:cs="宋体" w:hint="default"/>
          <w:b w:val="0"/>
          <w:bCs w:val="0"/>
          <w:color w:val="auto"/>
          <w:sz w:val="21"/>
          <w:szCs w:val="21"/>
          <w:lang w:val="en-US" w:eastAsia="zh-CN"/>
        </w:rPr>
        <w:t>1.生师比=折合本专业在校生数/本专业专任教师总数</w:t>
      </w:r>
      <w:r>
        <w:rPr>
          <w:rFonts w:ascii="Calibri" w:eastAsia="宋体" w:hAnsi="Calibri" w:cs="宋体" w:hint="default"/>
          <w:b w:val="0"/>
          <w:bCs w:val="0"/>
          <w:color w:val="auto"/>
          <w:sz w:val="21"/>
          <w:szCs w:val="21"/>
          <w:lang w:val="en-US" w:eastAsia="zh-CN"/>
        </w:rPr>
        <w:t>≤</w:t>
      </w:r>
      <w:r>
        <w:rPr>
          <w:rFonts w:ascii="Calibri" w:eastAsia="宋体" w:hAnsi="Calibri" w:cs="宋体" w:hint="default"/>
          <w:b w:val="0"/>
          <w:bCs w:val="0"/>
          <w:color w:val="auto"/>
          <w:sz w:val="21"/>
          <w:szCs w:val="21"/>
          <w:lang w:val="en-US" w:eastAsia="zh-CN"/>
        </w:rPr>
        <w:t>20:1。</w:t>
      </w:r>
    </w:p>
    <w:p>
      <w:pPr>
        <w:numPr>
          <w:ilvl w:val="0"/>
          <w:numId w:val="0"/>
        </w:numPr>
        <w:ind w:firstLine="420" w:firstLineChars="200"/>
        <w:jc w:val="left"/>
        <w:rPr>
          <w:rFonts w:ascii="Calibri" w:eastAsia="宋体" w:hAnsi="Calibri" w:cs="宋体" w:hint="default"/>
          <w:b w:val="0"/>
          <w:bCs w:val="0"/>
          <w:color w:val="auto"/>
          <w:sz w:val="21"/>
          <w:szCs w:val="21"/>
          <w:lang w:val="en-US" w:eastAsia="zh-CN"/>
        </w:rPr>
      </w:pPr>
      <w:r>
        <w:rPr>
          <w:rFonts w:ascii="Calibri" w:eastAsia="宋体" w:hAnsi="Calibri" w:cs="宋体" w:hint="default"/>
          <w:b w:val="0"/>
          <w:bCs w:val="0"/>
          <w:color w:val="auto"/>
          <w:sz w:val="21"/>
          <w:szCs w:val="21"/>
          <w:lang w:val="en-US" w:eastAsia="zh-CN"/>
        </w:rPr>
        <w:t>2.折合在校生数=普通本专科在校生数+硕士研究生在校生数*1.5+博士研究生在校生数*2+普通本专科留学生在校生数+硕士留学生在校生数*1.5+博士留学生在校生数*2+普通预科生注册生数+成人业余本专科在校生数*0.3+成人函授本专科在校生数*0.1+网络本专科在校生*0.1+本校中职在校生数+其他（占用教学资源的学历教育学生数，例如成人脱产本专科在校生数）。</w:t>
      </w:r>
    </w:p>
    <w:p>
      <w:pPr>
        <w:numPr>
          <w:ilvl w:val="0"/>
          <w:numId w:val="0"/>
        </w:numPr>
        <w:ind w:firstLine="420" w:leftChars="0" w:firstLineChars="200"/>
        <w:jc w:val="left"/>
        <w:rPr>
          <w:rFonts w:ascii="Calibri" w:eastAsia="宋体" w:hAnsi="Calibri" w:cs="宋体" w:hint="default"/>
          <w:color w:val="auto"/>
        </w:rPr>
      </w:pPr>
      <w:r>
        <w:rPr>
          <w:rFonts w:ascii="Calibri" w:eastAsia="宋体" w:hAnsi="Calibri" w:cs="宋体" w:hint="default"/>
          <w:b w:val="0"/>
          <w:bCs w:val="0"/>
          <w:color w:val="auto"/>
          <w:sz w:val="21"/>
          <w:szCs w:val="21"/>
          <w:lang w:val="en-US" w:eastAsia="zh-CN"/>
        </w:rPr>
        <w:t>3.本专业专任教师总数=本校本专业专任教师数+本学年聘请本专业校外（主要是企业）教师数*0.5。</w:t>
      </w:r>
    </w:p>
    <w:p>
      <w:pPr>
        <w:rPr>
          <w:rFonts w:ascii="Calibri" w:eastAsia="宋体" w:hAnsi="Calibri" w:cs="宋体" w:hint="default"/>
          <w:color w:val="auto"/>
        </w:rPr>
      </w:pPr>
    </w:p>
    <w:p>
      <w:pPr>
        <w:rPr>
          <w:color w:val="auto"/>
          <w:sz w:val="28"/>
          <w:szCs w:val="28"/>
        </w:rPr>
      </w:pPr>
    </w:p>
    <w:sectPr>
      <w:footerReference w:type="default" r:id="rId4"/>
      <w:type w:val="nextPage"/>
      <w:pgSz w:w="16838" w:h="11906" w:orient="landscape"/>
      <w:pgMar w:top="1803" w:right="1440" w:bottom="1803" w:left="1440" w:header="851" w:footer="992" w:gutter="0"/>
      <w:paperSrc w:first="0" w:other="0"/>
      <w:cols w:space="708"/>
      <w:titlePg w:val="0"/>
      <w:rtlGutter w:val="0"/>
      <w:docGrid w:type="lines" w:linePitch="319" w:charSpace="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default"/>
    <w:sig w:usb0="E4002EFF" w:usb1="C000247B" w:usb2="00000009" w:usb3="00000000" w:csb0="200001FF" w:csb1="00000000"/>
  </w:font>
  <w:font w:name="宋体">
    <w:panose1 w:val="02010600030101010101"/>
    <w:charset w:val="86"/>
    <w:family w:val="auto"/>
    <w:pitch w:val="default"/>
    <w:sig w:usb0="00000003" w:usb1="288F0000" w:usb2="00000006" w:usb3="00000000" w:csb0="00040001" w:csb1="00000000"/>
  </w:font>
  <w:font w:name="Times New Roman">
    <w:panose1 w:val="02020603050405020304"/>
    <w:charset w:val="00"/>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方正小标宋_GBK">
    <w:altName w:val="微软雅黑"/>
    <w:panose1 w:val="02000000000000000000"/>
    <w:charset w:val="86"/>
    <w:family w:val="auto"/>
    <w:pitch w:val="default"/>
    <w:sig w:usb0="00000001" w:usb1="08000000" w:usb2="0000000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rPr>
        <w:sz w:val="18"/>
      </w:rPr>
      <w:pict>
        <v:shapetype id="_x0000_t202" coordsize="21600,21600" o:spt="202" path="m,l,21600r21600,l21600,xe">
          <v:stroke joinstyle="miter"/>
          <v:path gradientshapeok="t" o:connecttype="rect"/>
        </v:shapetype>
        <v:shape id="文本框 1" o:spid="_x0000_s2049" type="#_x0000_t202" style="width:2in;height:2in;margin-top:0;margin-left:0;mso-position-horizontal:center;mso-position-horizontal-relative:margin;mso-wrap-style:none;position:absolute;v-text-anchor:top;z-index:251658240" filled="f" stroked="f">
          <v:fill o:detectmouseclick="t"/>
          <v:stroke linestyle="single"/>
          <o:lock v:ext="edit" aspectratio="f"/>
          <v:textbox style="layout-flow:horizontal;mso-fit-shape-to-text:t" inset="0,0,0,0">
            <w:txbxContent>
              <w:p>
                <w:pPr>
                  <w:pStyle w:val="Footer"/>
                  <w:tabs>
                    <w:tab w:val="center" w:pos="4153"/>
                    <w:tab w:val="right" w:pos="8306"/>
                  </w:tabs>
                </w:pPr>
                <w:r>
                  <w:fldChar w:fldCharType="begin"/>
                </w:r>
                <w:r>
                  <w:instrText xml:space="preserve"> PAGE  \* MERGEFORMAT </w:instrText>
                </w:r>
                <w:r>
                  <w:fldChar w:fldCharType="separate"/>
                </w:r>
                <w:r>
                  <w:t>1</w:t>
                </w:r>
                <w:r>
                  <w:fldChar w:fldCharType="end"/>
                </w:r>
              </w:p>
            </w:txbxContent>
          </v:textbox>
          <w10:wrap anchorx="margin"/>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7FC29E3"/>
    <w:multiLevelType w:val="singleLevel"/>
    <w:tmpl w:val="F7FC29E3"/>
    <w:lvl w:ilvl="0">
      <w:start w:val="1"/>
      <w:numFmt w:val="decimal"/>
      <w:lvlText w:val="%1."/>
      <w:lvlJc w:val="left"/>
      <w:pPr>
        <w:tabs>
          <w:tab w:val="num"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9"/>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000"/>
    <w:rsid w:val="89F7AF53"/>
    <w:rsid w:val="AFFFAF1E"/>
    <w:rsid w:val="AFFFC8B8"/>
    <w:rsid w:val="BABEE04C"/>
    <w:rsid w:val="D8FA8EDC"/>
    <w:rsid w:val="D9FFB40D"/>
    <w:rsid w:val="DFFFEAA2"/>
    <w:rsid w:val="E9E5698E"/>
    <w:rsid w:val="EF9FA3E7"/>
    <w:rsid w:val="FBD38713"/>
    <w:rsid w:val="FBE5C31A"/>
    <w:rsid w:val="FC3BD5DD"/>
    <w:rsid w:val="FCFEB5B5"/>
    <w:rsid w:val="FD9DFC40"/>
    <w:rsid w:val="FDC474F4"/>
    <w:rsid w:val="FEFF6260"/>
    <w:rsid w:val="FF2D30D2"/>
    <w:rsid w:val="FFF34AE5"/>
    <w:rsid w:val="028E13EB"/>
    <w:rsid w:val="03062D2F"/>
    <w:rsid w:val="03AF33C7"/>
    <w:rsid w:val="052B2F21"/>
    <w:rsid w:val="05544226"/>
    <w:rsid w:val="07214574"/>
    <w:rsid w:val="08366959"/>
    <w:rsid w:val="0B097709"/>
    <w:rsid w:val="0C0369A6"/>
    <w:rsid w:val="0CCE2B10"/>
    <w:rsid w:val="0CE802FE"/>
    <w:rsid w:val="0D7F205C"/>
    <w:rsid w:val="0DEA4596"/>
    <w:rsid w:val="0EEE56EB"/>
    <w:rsid w:val="1090632E"/>
    <w:rsid w:val="116814F8"/>
    <w:rsid w:val="117A7DCD"/>
    <w:rsid w:val="12333415"/>
    <w:rsid w:val="156A53A0"/>
    <w:rsid w:val="161F43DC"/>
    <w:rsid w:val="164A2DB0"/>
    <w:rsid w:val="1663076D"/>
    <w:rsid w:val="16E16614"/>
    <w:rsid w:val="19145D4E"/>
    <w:rsid w:val="192561AE"/>
    <w:rsid w:val="1AC25B01"/>
    <w:rsid w:val="1CBD494F"/>
    <w:rsid w:val="1DF0665E"/>
    <w:rsid w:val="1FA140B4"/>
    <w:rsid w:val="205E3D53"/>
    <w:rsid w:val="20E7612C"/>
    <w:rsid w:val="216C470C"/>
    <w:rsid w:val="238A778E"/>
    <w:rsid w:val="23A128D5"/>
    <w:rsid w:val="24EC7B7F"/>
    <w:rsid w:val="26EF3957"/>
    <w:rsid w:val="29AA1DB7"/>
    <w:rsid w:val="2A3C6EB3"/>
    <w:rsid w:val="2BC74EA2"/>
    <w:rsid w:val="2EA25753"/>
    <w:rsid w:val="2FA554FB"/>
    <w:rsid w:val="2FC7374B"/>
    <w:rsid w:val="2FD22068"/>
    <w:rsid w:val="302E7E11"/>
    <w:rsid w:val="328C0BF4"/>
    <w:rsid w:val="34F051CA"/>
    <w:rsid w:val="35873842"/>
    <w:rsid w:val="35BE7316"/>
    <w:rsid w:val="3607223C"/>
    <w:rsid w:val="363A20AB"/>
    <w:rsid w:val="37D361D6"/>
    <w:rsid w:val="38673624"/>
    <w:rsid w:val="38C344BA"/>
    <w:rsid w:val="3B633984"/>
    <w:rsid w:val="3BFFAFFA"/>
    <w:rsid w:val="3D59444D"/>
    <w:rsid w:val="3D94095C"/>
    <w:rsid w:val="3DFA4098"/>
    <w:rsid w:val="41AE6491"/>
    <w:rsid w:val="43C259FE"/>
    <w:rsid w:val="44870CE9"/>
    <w:rsid w:val="44B34AD4"/>
    <w:rsid w:val="450F3855"/>
    <w:rsid w:val="451E1B7F"/>
    <w:rsid w:val="45E71B7C"/>
    <w:rsid w:val="46256F3D"/>
    <w:rsid w:val="46870D6D"/>
    <w:rsid w:val="473D718D"/>
    <w:rsid w:val="47936288"/>
    <w:rsid w:val="47CD33E9"/>
    <w:rsid w:val="4805005F"/>
    <w:rsid w:val="4A331C29"/>
    <w:rsid w:val="4A563878"/>
    <w:rsid w:val="4A8A55C1"/>
    <w:rsid w:val="4C101AF6"/>
    <w:rsid w:val="4C6D0CF6"/>
    <w:rsid w:val="4CEC4311"/>
    <w:rsid w:val="4D783DF7"/>
    <w:rsid w:val="4DDF79D2"/>
    <w:rsid w:val="4E035DB6"/>
    <w:rsid w:val="4E7EE666"/>
    <w:rsid w:val="4E8A3DE2"/>
    <w:rsid w:val="52567AFD"/>
    <w:rsid w:val="536F17F8"/>
    <w:rsid w:val="54324CFF"/>
    <w:rsid w:val="55850DDF"/>
    <w:rsid w:val="566E5D97"/>
    <w:rsid w:val="573B036F"/>
    <w:rsid w:val="57BA19F4"/>
    <w:rsid w:val="584D65AC"/>
    <w:rsid w:val="59883613"/>
    <w:rsid w:val="5A166E71"/>
    <w:rsid w:val="5AF820D3"/>
    <w:rsid w:val="5B4D0671"/>
    <w:rsid w:val="5B9B5880"/>
    <w:rsid w:val="5BE00549"/>
    <w:rsid w:val="5BE74621"/>
    <w:rsid w:val="5C5872CD"/>
    <w:rsid w:val="5C6E6AF1"/>
    <w:rsid w:val="5D9F112C"/>
    <w:rsid w:val="5FAA6092"/>
    <w:rsid w:val="5FD149F1"/>
    <w:rsid w:val="5FFC0115"/>
    <w:rsid w:val="5FFDB1C7"/>
    <w:rsid w:val="618D7A19"/>
    <w:rsid w:val="63B0682D"/>
    <w:rsid w:val="64E75692"/>
    <w:rsid w:val="65444892"/>
    <w:rsid w:val="65490DB7"/>
    <w:rsid w:val="6757A654"/>
    <w:rsid w:val="689A0C6D"/>
    <w:rsid w:val="68C22344"/>
    <w:rsid w:val="691E364C"/>
    <w:rsid w:val="69793BA0"/>
    <w:rsid w:val="6B5259F4"/>
    <w:rsid w:val="6B9876E6"/>
    <w:rsid w:val="6C7041BF"/>
    <w:rsid w:val="6D5835D1"/>
    <w:rsid w:val="6D7E6944"/>
    <w:rsid w:val="6D9F9B7F"/>
    <w:rsid w:val="6DBD4B22"/>
    <w:rsid w:val="6E2D0758"/>
    <w:rsid w:val="6E82642B"/>
    <w:rsid w:val="6EEC639A"/>
    <w:rsid w:val="6F1FCE45"/>
    <w:rsid w:val="6FDB4045"/>
    <w:rsid w:val="728F0FFC"/>
    <w:rsid w:val="731042D1"/>
    <w:rsid w:val="73A11102"/>
    <w:rsid w:val="73E21E46"/>
    <w:rsid w:val="75AB1E67"/>
    <w:rsid w:val="7750356B"/>
    <w:rsid w:val="781E7167"/>
    <w:rsid w:val="78A642AE"/>
    <w:rsid w:val="78EA386F"/>
    <w:rsid w:val="790B146B"/>
    <w:rsid w:val="7B605B9E"/>
    <w:rsid w:val="7BC47041"/>
    <w:rsid w:val="7D1961AD"/>
    <w:rsid w:val="7DD31C51"/>
    <w:rsid w:val="7DFAA57B"/>
    <w:rsid w:val="7EB919F5"/>
    <w:rsid w:val="7F3C40CC"/>
    <w:rsid w:val="7F5E4590"/>
    <w:rsid w:val="7FB1663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qFormat="1"/>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qFormat/>
    <w:pPr>
      <w:spacing w:before="100" w:beforeAutospacing="1" w:after="100" w:afterAutospacing="1"/>
      <w:ind w:left="0" w:right="0"/>
      <w:jc w:val="left"/>
    </w:pPr>
    <w:rPr>
      <w:kern w:val="0"/>
      <w:sz w:val="24"/>
      <w:lang w:val="en-US" w:eastAsia="zh-CN" w:bidi="ar"/>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31">
    <w:name w:val="font31"/>
    <w:basedOn w:val="DefaultParagraphFont"/>
    <w:qFormat/>
    <w:rPr>
      <w:rFonts w:ascii="宋体" w:eastAsia="宋体" w:hAnsi="宋体" w:cs="宋体" w:hint="eastAsia"/>
      <w:color w:val="000000"/>
      <w:sz w:val="18"/>
      <w:szCs w:val="18"/>
      <w:u w:val="non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numbering" Target="numbering.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Normal.dotm</Template>
  <TotalTime>157288320</TotalTime>
  <Pages>4</Pages>
  <Words>2321</Words>
  <Characters>2471</Characters>
  <Application>Microsoft Office Word</Application>
  <DocSecurity>0</DocSecurity>
  <Lines>0</Lines>
  <Paragraphs>0</Paragraphs>
  <ScaleCrop>false</ScaleCrop>
  <Company/>
  <LinksUpToDate>false</LinksUpToDate>
  <CharactersWithSpaces>2471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笨熊 •梓枫</cp:lastModifiedBy>
  <cp:revision>0</cp:revision>
  <dcterms:created xsi:type="dcterms:W3CDTF">2021-11-22T06:03:28Z</dcterms:created>
  <dcterms:modified xsi:type="dcterms:W3CDTF">2022-04-30T06:44:07Z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B0C2BA5F43544478A4C22742D9B9589A</vt:lpwstr>
  </property>
  <property fmtid="{D5CDD505-2E9C-101B-9397-08002B2CF9AE}" pid="3" name="KSOProductBuildVer">
    <vt:lpwstr>2052-11.1.0.11636</vt:lpwstr>
  </property>
</Properties>
</file>